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BE4" w:rsidRPr="00DC6BE4" w:rsidRDefault="00DC6BE4" w:rsidP="00DC6BE4">
      <w:pPr>
        <w:shd w:val="clear" w:color="auto" w:fill="FFFFFF"/>
        <w:spacing w:after="255" w:line="300" w:lineRule="atLeast"/>
        <w:jc w:val="center"/>
        <w:outlineLvl w:val="1"/>
        <w:rPr>
          <w:rFonts w:ascii="Arial" w:eastAsia="Times New Roman" w:hAnsi="Arial" w:cs="Arial"/>
          <w:b/>
          <w:bCs/>
          <w:color w:val="4D4D4D"/>
          <w:sz w:val="27"/>
          <w:szCs w:val="27"/>
          <w:lang w:eastAsia="ru-RU"/>
        </w:rPr>
      </w:pPr>
      <w:r w:rsidRPr="00DC6BE4">
        <w:rPr>
          <w:rFonts w:ascii="Arial" w:eastAsia="Times New Roman" w:hAnsi="Arial" w:cs="Arial"/>
          <w:b/>
          <w:bCs/>
          <w:color w:val="4D4D4D"/>
          <w:sz w:val="27"/>
          <w:szCs w:val="27"/>
          <w:lang w:eastAsia="ru-RU"/>
        </w:rPr>
        <w:t>Постановление Правительства РФ от 29 сентября 2021 г. № 1643 “О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w:t>
      </w:r>
    </w:p>
    <w:p w:rsidR="00DC6BE4" w:rsidRPr="00DC6BE4" w:rsidRDefault="00DC6BE4" w:rsidP="00DC6BE4">
      <w:pPr>
        <w:shd w:val="clear" w:color="auto" w:fill="FFFFFF"/>
        <w:spacing w:line="240" w:lineRule="auto"/>
        <w:rPr>
          <w:rFonts w:ascii="Arial" w:eastAsia="Times New Roman" w:hAnsi="Arial" w:cs="Arial"/>
          <w:color w:val="333333"/>
          <w:sz w:val="21"/>
          <w:szCs w:val="21"/>
          <w:lang w:eastAsia="ru-RU"/>
        </w:rPr>
      </w:pPr>
      <w:r w:rsidRPr="00DC6BE4">
        <w:rPr>
          <w:rFonts w:ascii="Arial" w:eastAsia="Times New Roman" w:hAnsi="Arial" w:cs="Arial"/>
          <w:color w:val="333333"/>
          <w:sz w:val="21"/>
          <w:szCs w:val="21"/>
          <w:lang w:eastAsia="ru-RU"/>
        </w:rPr>
        <w:t>4 октября 2021</w:t>
      </w:r>
    </w:p>
    <w:p w:rsidR="00DC6BE4" w:rsidRPr="00DC6BE4" w:rsidRDefault="00DC6BE4" w:rsidP="00DC6BE4">
      <w:pPr>
        <w:shd w:val="clear" w:color="auto" w:fill="FFFFFF"/>
        <w:spacing w:after="255" w:line="270" w:lineRule="atLeast"/>
        <w:jc w:val="both"/>
        <w:rPr>
          <w:rFonts w:ascii="Arial" w:eastAsia="Times New Roman" w:hAnsi="Arial" w:cs="Arial"/>
          <w:color w:val="333333"/>
          <w:sz w:val="23"/>
          <w:szCs w:val="23"/>
          <w:lang w:eastAsia="ru-RU"/>
        </w:rPr>
      </w:pPr>
      <w:bookmarkStart w:id="0" w:name="0"/>
      <w:bookmarkEnd w:id="0"/>
      <w:r w:rsidRPr="00DC6BE4">
        <w:rPr>
          <w:rFonts w:ascii="Arial" w:eastAsia="Times New Roman" w:hAnsi="Arial" w:cs="Arial"/>
          <w:color w:val="333333"/>
          <w:sz w:val="23"/>
          <w:szCs w:val="23"/>
          <w:lang w:eastAsia="ru-RU"/>
        </w:rPr>
        <w:t>Правительство Российской Федерации постановляет:</w:t>
      </w:r>
    </w:p>
    <w:p w:rsidR="00DC6BE4" w:rsidRPr="00DC6BE4" w:rsidRDefault="00DC6BE4" w:rsidP="00DC6BE4">
      <w:pPr>
        <w:shd w:val="clear" w:color="auto" w:fill="FFFFFF"/>
        <w:spacing w:after="255" w:line="270" w:lineRule="atLeast"/>
        <w:jc w:val="both"/>
        <w:rPr>
          <w:rFonts w:ascii="Arial" w:eastAsia="Times New Roman" w:hAnsi="Arial" w:cs="Arial"/>
          <w:color w:val="333333"/>
          <w:sz w:val="23"/>
          <w:szCs w:val="23"/>
          <w:lang w:eastAsia="ru-RU"/>
        </w:rPr>
      </w:pPr>
      <w:r w:rsidRPr="00DC6BE4">
        <w:rPr>
          <w:rFonts w:ascii="Arial" w:eastAsia="Times New Roman" w:hAnsi="Arial" w:cs="Arial"/>
          <w:color w:val="333333"/>
          <w:sz w:val="23"/>
          <w:szCs w:val="23"/>
          <w:lang w:eastAsia="ru-RU"/>
        </w:rPr>
        <w:t>1. Утвердить прилагаемые изменения, которые вносятся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утвержденное постановлением Правительства Российской Федерации от 1 июля 2016 г.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(Собрание законодательства Российской Федерации, 2016, № 28, ст. 4740; 2017, № 38, ст. 5629; 2019, № 16, ст. 1944; 2020, № 30, ст. 4898).</w:t>
      </w:r>
    </w:p>
    <w:p w:rsidR="00DC6BE4" w:rsidRPr="00DC6BE4" w:rsidRDefault="00DC6BE4" w:rsidP="00DC6BE4">
      <w:pPr>
        <w:shd w:val="clear" w:color="auto" w:fill="FFFFFF"/>
        <w:spacing w:after="255" w:line="270" w:lineRule="atLeast"/>
        <w:jc w:val="both"/>
        <w:rPr>
          <w:rFonts w:ascii="Arial" w:eastAsia="Times New Roman" w:hAnsi="Arial" w:cs="Arial"/>
          <w:color w:val="333333"/>
          <w:sz w:val="23"/>
          <w:szCs w:val="23"/>
          <w:lang w:eastAsia="ru-RU"/>
        </w:rPr>
      </w:pPr>
      <w:r w:rsidRPr="00DC6BE4">
        <w:rPr>
          <w:rFonts w:ascii="Arial" w:eastAsia="Times New Roman" w:hAnsi="Arial" w:cs="Arial"/>
          <w:color w:val="333333"/>
          <w:sz w:val="23"/>
          <w:szCs w:val="23"/>
          <w:lang w:eastAsia="ru-RU"/>
        </w:rPr>
        <w:t>2. Пункты 3, 5 и 15-19 изменений, утвержденных настоящим постановлением, вступают в силу по истечении 6 месяцев со дня вступления в силу настоящего постановления, но не ранее 1-го числа первого месяца квартала, следующего за истечением указанного срока.</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DC6BE4" w:rsidRPr="00DC6BE4" w:rsidTr="00DC6BE4">
        <w:tc>
          <w:tcPr>
            <w:tcW w:w="2500" w:type="pct"/>
            <w:hideMark/>
          </w:tcPr>
          <w:p w:rsidR="00DC6BE4" w:rsidRPr="00DC6BE4" w:rsidRDefault="00DC6BE4" w:rsidP="00DC6BE4">
            <w:pPr>
              <w:spacing w:after="0" w:line="240" w:lineRule="auto"/>
              <w:rPr>
                <w:rFonts w:ascii="Times New Roman" w:eastAsia="Times New Roman" w:hAnsi="Times New Roman" w:cs="Times New Roman"/>
                <w:sz w:val="24"/>
                <w:szCs w:val="24"/>
                <w:lang w:eastAsia="ru-RU"/>
              </w:rPr>
            </w:pPr>
            <w:r w:rsidRPr="00DC6BE4">
              <w:rPr>
                <w:rFonts w:ascii="Times New Roman" w:eastAsia="Times New Roman" w:hAnsi="Times New Roman" w:cs="Times New Roman"/>
                <w:sz w:val="24"/>
                <w:szCs w:val="24"/>
                <w:lang w:eastAsia="ru-RU"/>
              </w:rPr>
              <w:t>Председатель Правительства</w:t>
            </w:r>
            <w:r w:rsidRPr="00DC6BE4">
              <w:rPr>
                <w:rFonts w:ascii="Times New Roman" w:eastAsia="Times New Roman" w:hAnsi="Times New Roman" w:cs="Times New Roman"/>
                <w:sz w:val="24"/>
                <w:szCs w:val="24"/>
                <w:lang w:eastAsia="ru-RU"/>
              </w:rPr>
              <w:br/>
              <w:t>Российской Федерации</w:t>
            </w:r>
          </w:p>
        </w:tc>
        <w:tc>
          <w:tcPr>
            <w:tcW w:w="2500" w:type="pct"/>
            <w:hideMark/>
          </w:tcPr>
          <w:p w:rsidR="00DC6BE4" w:rsidRPr="00DC6BE4" w:rsidRDefault="00DC6BE4" w:rsidP="00DC6BE4">
            <w:pPr>
              <w:spacing w:after="0" w:line="240" w:lineRule="auto"/>
              <w:rPr>
                <w:rFonts w:ascii="Times New Roman" w:eastAsia="Times New Roman" w:hAnsi="Times New Roman" w:cs="Times New Roman"/>
                <w:sz w:val="24"/>
                <w:szCs w:val="24"/>
                <w:lang w:eastAsia="ru-RU"/>
              </w:rPr>
            </w:pPr>
            <w:r w:rsidRPr="00DC6BE4">
              <w:rPr>
                <w:rFonts w:ascii="Times New Roman" w:eastAsia="Times New Roman" w:hAnsi="Times New Roman" w:cs="Times New Roman"/>
                <w:sz w:val="24"/>
                <w:szCs w:val="24"/>
                <w:lang w:eastAsia="ru-RU"/>
              </w:rPr>
              <w:t>М. </w:t>
            </w:r>
            <w:proofErr w:type="spellStart"/>
            <w:r w:rsidRPr="00DC6BE4">
              <w:rPr>
                <w:rFonts w:ascii="Times New Roman" w:eastAsia="Times New Roman" w:hAnsi="Times New Roman" w:cs="Times New Roman"/>
                <w:sz w:val="24"/>
                <w:szCs w:val="24"/>
                <w:lang w:eastAsia="ru-RU"/>
              </w:rPr>
              <w:t>Мишустин</w:t>
            </w:r>
            <w:proofErr w:type="spellEnd"/>
          </w:p>
        </w:tc>
      </w:tr>
    </w:tbl>
    <w:p w:rsidR="00DC6BE4" w:rsidRPr="00DC6BE4" w:rsidRDefault="00DC6BE4" w:rsidP="00DC6BE4">
      <w:pPr>
        <w:shd w:val="clear" w:color="auto" w:fill="FFFFFF"/>
        <w:spacing w:after="255" w:line="270" w:lineRule="atLeast"/>
        <w:rPr>
          <w:rFonts w:ascii="Arial" w:eastAsia="Times New Roman" w:hAnsi="Arial" w:cs="Arial"/>
          <w:color w:val="333333"/>
          <w:sz w:val="23"/>
          <w:szCs w:val="23"/>
          <w:lang w:eastAsia="ru-RU"/>
        </w:rPr>
      </w:pPr>
      <w:r w:rsidRPr="00DC6BE4">
        <w:rPr>
          <w:rFonts w:ascii="Arial" w:eastAsia="Times New Roman" w:hAnsi="Arial" w:cs="Arial"/>
          <w:color w:val="333333"/>
          <w:sz w:val="23"/>
          <w:szCs w:val="23"/>
          <w:lang w:eastAsia="ru-RU"/>
        </w:rPr>
        <w:t>УТВЕРЖДЕНЫ</w:t>
      </w:r>
      <w:r w:rsidRPr="00DC6BE4">
        <w:rPr>
          <w:rFonts w:ascii="Arial" w:eastAsia="Times New Roman" w:hAnsi="Arial" w:cs="Arial"/>
          <w:color w:val="333333"/>
          <w:sz w:val="23"/>
          <w:szCs w:val="23"/>
          <w:lang w:eastAsia="ru-RU"/>
        </w:rPr>
        <w:br/>
      </w:r>
      <w:r w:rsidRPr="00DC6BE4">
        <w:rPr>
          <w:rFonts w:ascii="Arial" w:eastAsia="Times New Roman" w:hAnsi="Arial" w:cs="Arial"/>
          <w:sz w:val="23"/>
          <w:szCs w:val="23"/>
          <w:bdr w:val="none" w:sz="0" w:space="0" w:color="auto" w:frame="1"/>
          <w:lang w:eastAsia="ru-RU"/>
        </w:rPr>
        <w:t>постановлением</w:t>
      </w:r>
      <w:r w:rsidRPr="00DC6BE4">
        <w:rPr>
          <w:rFonts w:ascii="Arial" w:eastAsia="Times New Roman" w:hAnsi="Arial" w:cs="Arial"/>
          <w:sz w:val="23"/>
          <w:szCs w:val="23"/>
          <w:lang w:eastAsia="ru-RU"/>
        </w:rPr>
        <w:t> </w:t>
      </w:r>
      <w:r w:rsidRPr="00DC6BE4">
        <w:rPr>
          <w:rFonts w:ascii="Arial" w:eastAsia="Times New Roman" w:hAnsi="Arial" w:cs="Arial"/>
          <w:color w:val="333333"/>
          <w:sz w:val="23"/>
          <w:szCs w:val="23"/>
          <w:lang w:eastAsia="ru-RU"/>
        </w:rPr>
        <w:t>Правительства</w:t>
      </w:r>
      <w:r w:rsidRPr="00DC6BE4">
        <w:rPr>
          <w:rFonts w:ascii="Arial" w:eastAsia="Times New Roman" w:hAnsi="Arial" w:cs="Arial"/>
          <w:color w:val="333333"/>
          <w:sz w:val="23"/>
          <w:szCs w:val="23"/>
          <w:lang w:eastAsia="ru-RU"/>
        </w:rPr>
        <w:br/>
        <w:t>Российской Федерации</w:t>
      </w:r>
      <w:r w:rsidRPr="00DC6BE4">
        <w:rPr>
          <w:rFonts w:ascii="Arial" w:eastAsia="Times New Roman" w:hAnsi="Arial" w:cs="Arial"/>
          <w:color w:val="333333"/>
          <w:sz w:val="23"/>
          <w:szCs w:val="23"/>
          <w:lang w:eastAsia="ru-RU"/>
        </w:rPr>
        <w:br/>
        <w:t xml:space="preserve">от 29 сентября 2021 г. </w:t>
      </w:r>
      <w:r>
        <w:rPr>
          <w:rFonts w:ascii="Arial" w:eastAsia="Times New Roman" w:hAnsi="Arial" w:cs="Arial"/>
          <w:color w:val="333333"/>
          <w:sz w:val="23"/>
          <w:szCs w:val="23"/>
          <w:lang w:eastAsia="ru-RU"/>
        </w:rPr>
        <w:t>№</w:t>
      </w:r>
      <w:r w:rsidRPr="00DC6BE4">
        <w:rPr>
          <w:rFonts w:ascii="Arial" w:eastAsia="Times New Roman" w:hAnsi="Arial" w:cs="Arial"/>
          <w:color w:val="333333"/>
          <w:sz w:val="23"/>
          <w:szCs w:val="23"/>
          <w:lang w:eastAsia="ru-RU"/>
        </w:rPr>
        <w:t> 1643</w:t>
      </w:r>
    </w:p>
    <w:p w:rsidR="00DC6BE4" w:rsidRDefault="00DC6BE4" w:rsidP="00DC6BE4">
      <w:pPr>
        <w:shd w:val="clear" w:color="auto" w:fill="FFFFFF"/>
        <w:spacing w:after="255" w:line="270" w:lineRule="atLeast"/>
        <w:outlineLvl w:val="2"/>
        <w:rPr>
          <w:rFonts w:ascii="Arial" w:eastAsia="Times New Roman" w:hAnsi="Arial" w:cs="Arial"/>
          <w:b/>
          <w:bCs/>
          <w:color w:val="333333"/>
          <w:sz w:val="26"/>
          <w:szCs w:val="26"/>
          <w:lang w:eastAsia="ru-RU"/>
        </w:rPr>
      </w:pPr>
      <w:r w:rsidRPr="00DC6BE4">
        <w:rPr>
          <w:rFonts w:ascii="Arial" w:eastAsia="Times New Roman" w:hAnsi="Arial" w:cs="Arial"/>
          <w:b/>
          <w:bCs/>
          <w:color w:val="333333"/>
          <w:sz w:val="26"/>
          <w:szCs w:val="26"/>
          <w:lang w:eastAsia="ru-RU"/>
        </w:rPr>
        <w:t>Изменения, которые вносятся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 Подпункты "г" и "д" пункта 13 признать утратившими силу.</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 Дополнить пунктом 13</w:t>
      </w:r>
      <w:r w:rsidR="006A06E9">
        <w:rPr>
          <w:rFonts w:ascii="Arial" w:eastAsia="Times New Roman" w:hAnsi="Arial" w:cs="Arial"/>
          <w:bCs/>
          <w:color w:val="333333"/>
          <w:sz w:val="26"/>
          <w:szCs w:val="26"/>
          <w:lang w:eastAsia="ru-RU"/>
        </w:rPr>
        <w:t xml:space="preserve"> </w:t>
      </w:r>
      <w:bookmarkStart w:id="1" w:name="_GoBack"/>
      <w:bookmarkEnd w:id="1"/>
      <w:r w:rsidRPr="00DC6BE4">
        <w:rPr>
          <w:rFonts w:ascii="Arial" w:eastAsia="Times New Roman" w:hAnsi="Arial" w:cs="Arial"/>
          <w:bCs/>
          <w:color w:val="333333"/>
          <w:sz w:val="26"/>
          <w:szCs w:val="26"/>
          <w:lang w:eastAsia="ru-RU"/>
        </w:rPr>
        <w:t>1 следующего содержания: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lastRenderedPageBreak/>
        <w:t>"13</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 В состав комиссии по проведению предварительного отбора могут входить уполномоченные представители общественного совета по вопросам жилищно-коммунального хозяйства, созданного в субъекте Российской Федерации, а также представители иных общественных организаций.".</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3. Дополнить пунктом 22</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 следующего содержания: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"22</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 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4. В пункте 23:</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а) подпункт "б" дополнить словами ", и (или) в части оказания услуг и (или) выполнения работ по оценке технического состояния, разработке проектной документации на проведение капитального ремонта общего имущества многоквартирных домов (за исключением работ по ремонту (замене, модернизации) лифтов), являющихся объектами культурного наследия, выявленными объектами культурного наследия";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б) дополнить подпунктом "р" следующего содержания: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 xml:space="preserve">"р) наличие в штате участника предварительного отбора по месту основной работы не менее одного работника, ответственного за организацию производства работ по монтажу и </w:t>
      </w:r>
      <w:proofErr w:type="spellStart"/>
      <w:r w:rsidRPr="00DC6BE4">
        <w:rPr>
          <w:rFonts w:ascii="Arial" w:eastAsia="Times New Roman" w:hAnsi="Arial" w:cs="Arial"/>
          <w:bCs/>
          <w:color w:val="333333"/>
          <w:sz w:val="26"/>
          <w:szCs w:val="26"/>
          <w:lang w:eastAsia="ru-RU"/>
        </w:rPr>
        <w:t>пусконаладке</w:t>
      </w:r>
      <w:proofErr w:type="spellEnd"/>
      <w:r w:rsidRPr="00DC6BE4">
        <w:rPr>
          <w:rFonts w:ascii="Arial" w:eastAsia="Times New Roman" w:hAnsi="Arial" w:cs="Arial"/>
          <w:bCs/>
          <w:color w:val="333333"/>
          <w:sz w:val="26"/>
          <w:szCs w:val="26"/>
          <w:lang w:eastAsia="ru-RU"/>
        </w:rPr>
        <w:t xml:space="preserve"> технических устройств (систем вертикального транспорта) - лифтов, платформ подъемных для инвалидов, эскалаторов, пассажирских конвейеров, уровень квалификации которого соответствует уровню, установленному соответствующим профессиональным стандартом,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случае проведения предварительного отбора на включение в реестр квалифицированных подрядных организаций по предмету электронного аукциона, предусмотренному подпунктом "в" пункта 8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5. В подпункте "д" пункта 63 слова ", с указанием видов услуг и (или) работ, на оказание и (или) выполнение которых была подана заявка на участие в предварительном отборе для последующего участия в электронном аукционе" исключить.</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6. В пункте 66:</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а) подпункт "ж" изложить в следующей редакции: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lastRenderedPageBreak/>
        <w:t>"ж) наличия у подрядной организации, включенной в реестр квалифицированных подрядчиков, контракта и (или) договора на оказание услуг и (или) выполнение работ, аналогичных предмету предварительного отбора, расторгнутого по решению суда или по требованию одной из сторон такого контракта и (или) договора в связи с существенными нарушениями подрядной организацией условий такого контракта и (или) договора, - в части соответствующего предмета электронного аукциона, в котором подрядная организация имеет право принять участие;";</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б) подпункт "л" изложить в следующей редакции: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"л) принятия комиссией по проведению предварительного отбора решения об отказе от внесения изменений в реестр квалифицированных подрядных организаций в соответствии с подпунктом "б" пункта 701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7. Пункт 69 изложить в следующей редакции: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"69. В случае изменения сведений о подрядной организации, содержащихся в реестре квалифицированных подрядных организаций, подрядная организация обязана в течение 10 рабочих дней уведомить орган по ведению реестра о таких изменениях с приложением подтверждающих документов.</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При этом в случае изменения сведений, влекущих необходимость изменения информации, указанной в подпункте "е" пункта 63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абзацами вторым и восьмым подпункта "б" пункта 38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выполнения работ, аналогичных соответствующим предметам электронного аукциона, с предельным размером обязательств по договорам на оказание указанных аналогичных услуг и (или) выполнение указанных аналогичных работ на сумму не менее 10 процентов предельного размера обязательств по договорам строительного подряда, в соответствии с которыми такой подрядной организацией, как членом соответствующей саморегулируемой организации, внесен взнос в компенсационный фонд обеспечения договорных обязательств, сформированный в соответствии с частью 2 статьи 55</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16 Градостроительного кодекса Российской Федерации.".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8. Пункт 70 дополнить предложением следующего содержания: "Орган по ведению реестра, получивший документы в соответствии с абзацем вторым пункта 69 настоящего Положения, в течение 3 рабочих дней направляет их в комиссию по проведению предварительного отбора для рассмотрения.".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9. Дополнить пунктами 70</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 xml:space="preserve">1 </w:t>
      </w:r>
      <w:r w:rsidR="006A06E9">
        <w:rPr>
          <w:rFonts w:ascii="Arial" w:eastAsia="Times New Roman" w:hAnsi="Arial" w:cs="Arial"/>
          <w:bCs/>
          <w:color w:val="333333"/>
          <w:sz w:val="26"/>
          <w:szCs w:val="26"/>
          <w:lang w:eastAsia="ru-RU"/>
        </w:rPr>
        <w:t>–</w:t>
      </w:r>
      <w:r w:rsidRPr="00DC6BE4">
        <w:rPr>
          <w:rFonts w:ascii="Arial" w:eastAsia="Times New Roman" w:hAnsi="Arial" w:cs="Arial"/>
          <w:bCs/>
          <w:color w:val="333333"/>
          <w:sz w:val="26"/>
          <w:szCs w:val="26"/>
          <w:lang w:eastAsia="ru-RU"/>
        </w:rPr>
        <w:t xml:space="preserve"> 70</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3 следующего содержания: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lastRenderedPageBreak/>
        <w:t>"70</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 В течение 5 рабочих дней со дня получения документов, указанных в абзаце втором пункта 69 настоящего Положения, комиссия по проведению предварительного отбора рассматривает поступившие документы на предмет их соответствия требованиям абзаца второго пункта 69 настоящего Положения и принимает одно из следующих решений:</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а) об изменении информации в реестре квалифицированных подрядных организаций;</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б) об отказе от изменения информации в реестре квалифицированных подрядных организаций.</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70</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2. Решение об отказе от изменения информации в реестре квалифицированных подрядных организаций принимается по следующим основаниям:</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непредставление документов, предусмотренных абзацем вторым пункта 69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несоответствие сведений, содержащихся в представленных документах, требованиям абзаца второго пункта 69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недостоверность сведений, содержащихся в представленных документах.</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Принятие решения об отказе от изменения информации в реестре квалифицированных подрядных организаций по иным основаниям, кроме предусмотренных настоящим пунктом, не допускается.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70</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3. Результаты рассмотрения поступивших в соответствии с абзацем вторым пункта 69 настоящего Положения документов и решения, принятые в соответствии с пунктами 70</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 и 70</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2 настоящего Положения, оформляются протоколом комиссии по проведению предварительного отбора, который подписывается всеми членами комиссии, участвующими в заседании. Указанный протокол размещается органом по ведению реестра на официальном сайте в течение 3 рабочих дней со дня его подписания. Орган по ведению реестра одновременно с размещением на официальном сайте протокола комиссии по проведению предварительного отбора вносит соответствующие изменения и размещает информацию в реестре квалифицированных подрядных организаций.</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 xml:space="preserve">В протоколе комиссии по проведению предварительного отбора указывается информация о месте, дате и времени рассмотрения поступивших в соответствии с абзацем вторым пункта 69 настоящего Положения документов, наименование и адрес юридического лица, включенного в реестр квалифицированных подрядных организаций, фамилия, имя, отчество (при наличии) физического лица, зарегистрированного в качестве индивидуального предпринимателя, включенного в реестр квалифицированных подрядных организаций, идентификационный номер налогоплательщика, контактные телефоны, адрес электронной почты лиц, включенных в реестр квалифицированных подрядных организаций, состав </w:t>
      </w:r>
      <w:r w:rsidRPr="00DC6BE4">
        <w:rPr>
          <w:rFonts w:ascii="Arial" w:eastAsia="Times New Roman" w:hAnsi="Arial" w:cs="Arial"/>
          <w:bCs/>
          <w:color w:val="333333"/>
          <w:sz w:val="26"/>
          <w:szCs w:val="26"/>
          <w:lang w:eastAsia="ru-RU"/>
        </w:rPr>
        <w:lastRenderedPageBreak/>
        <w:t>членов комиссии, участвующих в рассмотрении поступивших в соответствии с абзацем вторым пункта 69 настоящего Положения документов, принятое решение. При принятии комиссией по предварительному отбору решения об отказе от изменения информации в реестре квалифицированных подрядных организаций в протоколе комиссии по проведению предварительного отбора указывается основание такого решения.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При принятии комиссией по проведению предварительного отбора решения об изменении информации в реестре квалифицированных подрядных организаций в протоколе комиссии по проведению предварительного отбора указывается предельный размер обязательств подрядной организации по договору подряда на подготовку проектной документации, по договору строительного подряда, заключенным с использованием конкурентных способов заключения договоров, в соответствии с которым такой подрядной организацией, как членом соответствующей саморегулируемой организации, внесен взнос в компенсационный фонд обеспечения договорных обязательств, сформированный в соответствии с частью 2 статьи 55</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16 Градостроительного кодекса Российской Федерации.".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10. В пункте 78</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а) абзац первый дополнить словами ", за исключением предметов электронных аукционов, предусмотренных подпунктами "б" и "д" пункта 8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б) абзац третий изложить в следующей редакции: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"по оценке технического состояния конструктивных элементов лифтовой шахты, разработке проектной документации на ремонт (замену, модернизацию) лифтов, выполнению работ по ремонту (замене, модернизации) лифтов, за исключением работ, предусмотренных подпунктом "е" пункта 8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в) в абзаце седьмом слово "государственной" исключить.</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11. Пункт 81 изложить в следующей редакции: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 xml:space="preserve">"81. В состав комиссии по осуществлению закупок помимо должностных лиц заказчика и органа по реализации региональной программы капитального ремонта общего имущества в многоквартирных домах должны входить уполномоченный представитель органа исполнительной власти субъекта Российской Федерации, осуществляющего функции по формированию и реализации государственной политики в области государственной охраны, сохранения, использования и популяризации объектов культурного наследия (памятников истории и культуры) народов Российской Федерации, в случае осуществления закупки работ по капитальному ремонту общего имущества в многоквартирных домах, являющихся объектами культурного наследия. В состав комиссии по осуществлению закупок также могут входить уполномоченные представители общественного совета по вопросам </w:t>
      </w:r>
      <w:r w:rsidRPr="00DC6BE4">
        <w:rPr>
          <w:rFonts w:ascii="Arial" w:eastAsia="Times New Roman" w:hAnsi="Arial" w:cs="Arial"/>
          <w:bCs/>
          <w:color w:val="333333"/>
          <w:sz w:val="26"/>
          <w:szCs w:val="26"/>
          <w:lang w:eastAsia="ru-RU"/>
        </w:rPr>
        <w:lastRenderedPageBreak/>
        <w:t>жилищно-коммунального хозяйства, созданного в субъекте Российской Федерации, а также представители иных общественных организаций.".</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12. В пункте 90 цифры "25" заменить цифрами "20", цифры "1,5" заменить цифрой "2".</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13. В пункте 91 цифры "25" заменить цифрами "20".</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14. В пункте 122 цифры "186" заменить цифрами "185".</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15. Пункт 128 изложить в следующей редакции: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"128. Извещение о проведении электронного аукциона размещается на официальном сайте и сайте оператора электронной площадки не менее чем за 20 календарных дней до окончания срока подачи заявок на участие в электронном аукционе, за исключением случаев, предусмотренных пунктом 1281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16. Дополнить пунктами 128</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 и 128</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2 следующего содержания: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"128</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 В случае если начальная (максимальная) цена договора не превышает 2 млрд. рублей, извещение может размещаться на официальном сайте и сайте оператора электронной площадки не менее чем за 7 календарных дней до окончания срока подачи заявок на участие в таком электронном аукционе.</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128</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2. В день размещения извещения о проведении электронного аукциона заказчик обязан направить подрядным организациям, включенным в реестр квалифицированных подрядных организаций, приглашение принять участие в электронном аукционе в форме электронного документа через оператора электронной площадки, в котором указывается информация о предмете электронного аукциона с указанием видов услуг и (или) работ и идентификационном номере (номерах) электронного аукциона.".</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17. В пункте 130 слова "3 рабочих дня" заменить словами "2 календарных дня".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18. В пункте 132 слова "не менее 10 дней" заменить словами "не менее 10 календарных дней или в случае, предусмотренном пунктом 1281 настоящего Положения, не менее 7 календарных дней".</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19. В пункте 133 слова "3 рабочих дня" заменить словами "2 календарных дня".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20. Дополнить пунктом 135</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 следующего содержания: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"135</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 xml:space="preserve">1. Заказчик при описании в документации об электронном аукционе объекта закупки должен использовать показатели, требования, условные обозначения и терминологию, касающиеся технических и качественных характеристик, функциональных характеристик (потребительских свойств) </w:t>
      </w:r>
      <w:r w:rsidRPr="00DC6BE4">
        <w:rPr>
          <w:rFonts w:ascii="Arial" w:eastAsia="Times New Roman" w:hAnsi="Arial" w:cs="Arial"/>
          <w:bCs/>
          <w:color w:val="333333"/>
          <w:sz w:val="26"/>
          <w:szCs w:val="26"/>
          <w:lang w:eastAsia="ru-RU"/>
        </w:rPr>
        <w:lastRenderedPageBreak/>
        <w:t>материалов и оборудования, работ, услуг,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поставляемых материалов и оборудования,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21. Предложение второе пункта 152 исключить.</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22. В пункте 157:</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а) в подпункте "б" слова "требованиям к документации" заменить словами "требованиям документации";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б) подпункт "д" дополнить предложением следующего содержания: "При осуществлении закупки в соответствии с пунктом 781 настоящего Положения сопоставление значения начальной (максимальной) цены договора, установленной в документации об электронном аукционе, и значения начальной (максимальной) цены договора, информация о которой в соответствии с подпунктом "е" пункта 63 настоящего Положения включена в реестр квалифицированных подрядных организаций, осуществляется по каждому виду работ и (или) услуг, объединенных в один предмет закупки.".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23. Пункт 167 после слов "от заключения договора о проведении капитального ремонта" дополнить словами ", а также в случае отказа заказчика от заключения договора по основаниям, предусмотренным пунктом 220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24. Дополнить пунктом 219</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1 следующего содержания: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"219</w:t>
      </w:r>
      <w:r w:rsidR="006A06E9">
        <w:rPr>
          <w:rFonts w:ascii="Arial" w:eastAsia="Times New Roman" w:hAnsi="Arial" w:cs="Arial"/>
          <w:bCs/>
          <w:color w:val="333333"/>
          <w:sz w:val="26"/>
          <w:szCs w:val="26"/>
          <w:lang w:eastAsia="ru-RU"/>
        </w:rPr>
        <w:t xml:space="preserve"> </w:t>
      </w:r>
      <w:r w:rsidRPr="00DC6BE4">
        <w:rPr>
          <w:rFonts w:ascii="Arial" w:eastAsia="Times New Roman" w:hAnsi="Arial" w:cs="Arial"/>
          <w:bCs/>
          <w:color w:val="333333"/>
          <w:sz w:val="26"/>
          <w:szCs w:val="26"/>
          <w:lang w:eastAsia="ru-RU"/>
        </w:rPr>
        <w:t xml:space="preserve">1. Заказчик вправе предусмотреть в проекте договора о проведении капитального ремонта условие о банковском сопровождении договора о проведении капитального ремонта, предусматривающее обеспечение банком на основании договора, заключаемого с подрядной организацией и всеми привлекаемыми в ходе исполнения договора о проведении капитального ремонта субподрядчиками, соисполнителями, проведения мониторинга расчетов, осуществляемых в рамках исполнения договора о проведении капитального ремонта, на счете, открытом в указанном банке, и доведение результатов такого мониторинга до сведения заказчика, а также оказание банком иных услуг, позволяющих обеспечить соответствие </w:t>
      </w:r>
      <w:r w:rsidRPr="00DC6BE4">
        <w:rPr>
          <w:rFonts w:ascii="Arial" w:eastAsia="Times New Roman" w:hAnsi="Arial" w:cs="Arial"/>
          <w:bCs/>
          <w:color w:val="333333"/>
          <w:sz w:val="26"/>
          <w:szCs w:val="26"/>
          <w:lang w:eastAsia="ru-RU"/>
        </w:rPr>
        <w:lastRenderedPageBreak/>
        <w:t>принимаемых заказчиком услуг и (или) работ (их результатов) условиям сопровождаемого договора о проведении капитального ремонта.".</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25. Пункт 220 изложить в следующей редакции:</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 xml:space="preserve">"220. Заказчик обязан отказаться от заключения договора о проведении капитального ремонта с победителем электронного аукциона, или с участником электронного аукциона, заявке </w:t>
      </w:r>
      <w:proofErr w:type="gramStart"/>
      <w:r w:rsidRPr="00DC6BE4">
        <w:rPr>
          <w:rFonts w:ascii="Arial" w:eastAsia="Times New Roman" w:hAnsi="Arial" w:cs="Arial"/>
          <w:bCs/>
          <w:color w:val="333333"/>
          <w:sz w:val="26"/>
          <w:szCs w:val="26"/>
          <w:lang w:eastAsia="ru-RU"/>
        </w:rPr>
        <w:t>на участие</w:t>
      </w:r>
      <w:proofErr w:type="gramEnd"/>
      <w:r w:rsidRPr="00DC6BE4">
        <w:rPr>
          <w:rFonts w:ascii="Arial" w:eastAsia="Times New Roman" w:hAnsi="Arial" w:cs="Arial"/>
          <w:bCs/>
          <w:color w:val="333333"/>
          <w:sz w:val="26"/>
          <w:szCs w:val="26"/>
          <w:lang w:eastAsia="ru-RU"/>
        </w:rPr>
        <w:t xml:space="preserve">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а) установление факта несоответствия лица, с которым должен быть заключен договор о проведении капитального ремонта, требованиям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б) установление по итогам электронного аукциона по предмету электронного аукциона, предусмотренному подпунктом "ж" пункта 8 настоящего Положения,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подпунктами "а" - "в" пункта 8 настоящего Положения, в отношении того же многоквартирного дома, что и электронный аукцион по предмету электронного аукциона, предусмотренному подпунктом "ж" пункта 8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в) установление по итогам электронных аукционов по предметам, предусмотренным подпунктами "а" - "в" пункта 8 настоящего Положения,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подпунктом "ж" пункта 8 настоящего Положения, в отношении того же многоквартирного дома, что и электронные аукционы по предметам электронных аукционов, предусмотренным подпунктами "а" - "в" пункта 8 настоящего Положения.".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26. Пункт 221 дополнить абзацем следующего содержания:</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 xml:space="preserve">"В случае отказа от заключения договора о проведении капитального ремонта по основанию, предусмотренному подпунктом "а" пункта 220 настоящего Положения, заказчик в течение 3 рабочих дней со дня такого отказа уведомляет о таком отказе орган по ведению реестра с указанием </w:t>
      </w:r>
      <w:r w:rsidRPr="00DC6BE4">
        <w:rPr>
          <w:rFonts w:ascii="Arial" w:eastAsia="Times New Roman" w:hAnsi="Arial" w:cs="Arial"/>
          <w:bCs/>
          <w:color w:val="333333"/>
          <w:sz w:val="26"/>
          <w:szCs w:val="26"/>
          <w:lang w:eastAsia="ru-RU"/>
        </w:rPr>
        <w:lastRenderedPageBreak/>
        <w:t>основания отказа заказчика от заключения договора о проведении капитального ремонта.".</w:t>
      </w:r>
    </w:p>
    <w:p w:rsidR="00DC6BE4" w:rsidRPr="00DC6BE4" w:rsidRDefault="00DC6BE4" w:rsidP="00DC6BE4">
      <w:pPr>
        <w:shd w:val="clear" w:color="auto" w:fill="FFFFFF"/>
        <w:spacing w:after="255" w:line="270" w:lineRule="atLeast"/>
        <w:jc w:val="both"/>
        <w:outlineLvl w:val="2"/>
        <w:rPr>
          <w:rFonts w:ascii="Arial" w:eastAsia="Times New Roman" w:hAnsi="Arial" w:cs="Arial"/>
          <w:bCs/>
          <w:color w:val="333333"/>
          <w:sz w:val="26"/>
          <w:szCs w:val="26"/>
          <w:lang w:eastAsia="ru-RU"/>
        </w:rPr>
      </w:pPr>
      <w:r w:rsidRPr="00DC6BE4">
        <w:rPr>
          <w:rFonts w:ascii="Arial" w:eastAsia="Times New Roman" w:hAnsi="Arial" w:cs="Arial"/>
          <w:bCs/>
          <w:color w:val="333333"/>
          <w:sz w:val="26"/>
          <w:szCs w:val="26"/>
          <w:lang w:eastAsia="ru-RU"/>
        </w:rPr>
        <w:t>27. В пункте 255 слова "участниками электронных аукционов условий таких договоров" заменить словами "подрядными организациями условий таких договоров".</w:t>
      </w:r>
    </w:p>
    <w:p w:rsidR="00DC6BE4" w:rsidRPr="00DC6BE4" w:rsidRDefault="00DC6BE4" w:rsidP="00DC6BE4">
      <w:pPr>
        <w:shd w:val="clear" w:color="auto" w:fill="FFFFFF"/>
        <w:spacing w:after="255" w:line="270" w:lineRule="atLeast"/>
        <w:outlineLvl w:val="2"/>
        <w:rPr>
          <w:rFonts w:ascii="Arial" w:eastAsia="Times New Roman" w:hAnsi="Arial" w:cs="Arial"/>
          <w:bCs/>
          <w:color w:val="333333"/>
          <w:sz w:val="26"/>
          <w:szCs w:val="26"/>
          <w:lang w:eastAsia="ru-RU"/>
        </w:rPr>
      </w:pPr>
    </w:p>
    <w:p w:rsidR="00DC6BE4" w:rsidRPr="00DC6BE4" w:rsidRDefault="00DC6BE4" w:rsidP="00DC6BE4">
      <w:pPr>
        <w:shd w:val="clear" w:color="auto" w:fill="FFFFFF"/>
        <w:spacing w:after="255" w:line="270" w:lineRule="atLeast"/>
        <w:outlineLvl w:val="2"/>
        <w:rPr>
          <w:rFonts w:ascii="Arial" w:eastAsia="Times New Roman" w:hAnsi="Arial" w:cs="Arial"/>
          <w:bCs/>
          <w:color w:val="333333"/>
          <w:sz w:val="26"/>
          <w:szCs w:val="26"/>
          <w:lang w:eastAsia="ru-RU"/>
        </w:rPr>
      </w:pPr>
    </w:p>
    <w:sectPr w:rsidR="00DC6BE4" w:rsidRPr="00DC6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BE4"/>
    <w:rsid w:val="005E252F"/>
    <w:rsid w:val="006A06E9"/>
    <w:rsid w:val="0094244B"/>
    <w:rsid w:val="00D53FC0"/>
    <w:rsid w:val="00DC6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AEF4"/>
  <w15:chartTrackingRefBased/>
  <w15:docId w15:val="{B07CA667-D2A0-4A11-8C39-3DCABEE0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C6B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C6B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6BE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C6BE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C6B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C6B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72833">
      <w:bodyDiv w:val="1"/>
      <w:marLeft w:val="0"/>
      <w:marRight w:val="0"/>
      <w:marTop w:val="0"/>
      <w:marBottom w:val="0"/>
      <w:divBdr>
        <w:top w:val="none" w:sz="0" w:space="0" w:color="auto"/>
        <w:left w:val="none" w:sz="0" w:space="0" w:color="auto"/>
        <w:bottom w:val="none" w:sz="0" w:space="0" w:color="auto"/>
        <w:right w:val="none" w:sz="0" w:space="0" w:color="auto"/>
      </w:divBdr>
      <w:divsChild>
        <w:div w:id="1785419819">
          <w:marLeft w:val="0"/>
          <w:marRight w:val="0"/>
          <w:marTop w:val="0"/>
          <w:marBottom w:val="180"/>
          <w:divBdr>
            <w:top w:val="none" w:sz="0" w:space="0" w:color="auto"/>
            <w:left w:val="none" w:sz="0" w:space="0" w:color="auto"/>
            <w:bottom w:val="none" w:sz="0" w:space="0" w:color="auto"/>
            <w:right w:val="none" w:sz="0" w:space="0" w:color="auto"/>
          </w:divBdr>
        </w:div>
        <w:div w:id="301815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2972</Words>
  <Characters>16942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2021-10-07T12:07:00Z</dcterms:created>
  <dcterms:modified xsi:type="dcterms:W3CDTF">2021-10-07T12:28:00Z</dcterms:modified>
</cp:coreProperties>
</file>