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E30CD1">
        <w:rPr>
          <w:rFonts w:ascii="Times New Roman" w:eastAsia="Times New Roman" w:hAnsi="Times New Roman" w:cs="Times New Roman"/>
          <w:color w:val="22272F"/>
          <w:sz w:val="34"/>
          <w:szCs w:val="34"/>
          <w:lang w:eastAsia="ru-RU"/>
        </w:rPr>
        <w:t xml:space="preserve">Постановление Правительства РФ от 24 ноября 2021 г. </w:t>
      </w:r>
      <w:r>
        <w:rPr>
          <w:rFonts w:ascii="Times New Roman" w:eastAsia="Times New Roman" w:hAnsi="Times New Roman" w:cs="Times New Roman"/>
          <w:color w:val="22272F"/>
          <w:sz w:val="34"/>
          <w:szCs w:val="34"/>
          <w:lang w:eastAsia="ru-RU"/>
        </w:rPr>
        <w:t>№</w:t>
      </w:r>
      <w:r w:rsidRPr="00E30CD1">
        <w:rPr>
          <w:rFonts w:ascii="Times New Roman" w:eastAsia="Times New Roman" w:hAnsi="Times New Roman" w:cs="Times New Roman"/>
          <w:color w:val="22272F"/>
          <w:sz w:val="34"/>
          <w:szCs w:val="34"/>
          <w:lang w:eastAsia="ru-RU"/>
        </w:rPr>
        <w:t> 2024</w:t>
      </w:r>
      <w:r w:rsidRPr="00E30CD1">
        <w:rPr>
          <w:rFonts w:ascii="Times New Roman" w:eastAsia="Times New Roman" w:hAnsi="Times New Roman" w:cs="Times New Roman"/>
          <w:color w:val="22272F"/>
          <w:sz w:val="34"/>
          <w:szCs w:val="34"/>
          <w:lang w:eastAsia="ru-RU"/>
        </w:rPr>
        <w:br/>
        <w:t>"О правилах казначейского сопровождения"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соответствии с пунктом 3 статьи 242 23 и пунктами 2 и 3 статьи 242 24 Бюджетного кодекса Российской Федерации Правительство Российской Федерации постановляет:</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 Утвердить прилагаемые:</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Правила казначейского сопровождения, осуществляемого Федеральным казначейством;</w:t>
      </w:r>
    </w:p>
    <w:p w:rsid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Правила расширенного казначейского сопровождения.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2. Настоящее постановление вступает в силу с 1 января 2022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E30CD1" w:rsidRPr="00E30CD1" w:rsidTr="00E30CD1">
        <w:tc>
          <w:tcPr>
            <w:tcW w:w="3300" w:type="pct"/>
            <w:shd w:val="clear" w:color="auto" w:fill="FFFFFF"/>
            <w:vAlign w:val="bottom"/>
            <w:hideMark/>
          </w:tcPr>
          <w:p w:rsidR="00E30CD1" w:rsidRPr="00E30CD1" w:rsidRDefault="00E30CD1" w:rsidP="00E30CD1">
            <w:pPr>
              <w:spacing w:after="0" w:line="240" w:lineRule="auto"/>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Председатель Правительства</w:t>
            </w:r>
            <w:r w:rsidRPr="00E30CD1">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E30CD1" w:rsidRPr="00E30CD1" w:rsidRDefault="00E30CD1" w:rsidP="00E30CD1">
            <w:pPr>
              <w:spacing w:after="0" w:line="240" w:lineRule="auto"/>
              <w:jc w:val="right"/>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М. </w:t>
            </w:r>
            <w:proofErr w:type="spellStart"/>
            <w:r w:rsidRPr="00E30CD1">
              <w:rPr>
                <w:rFonts w:ascii="Times New Roman" w:eastAsia="Times New Roman" w:hAnsi="Times New Roman" w:cs="Times New Roman"/>
                <w:color w:val="22272F"/>
                <w:sz w:val="23"/>
                <w:szCs w:val="23"/>
                <w:lang w:eastAsia="ru-RU"/>
              </w:rPr>
              <w:t>Мишустин</w:t>
            </w:r>
            <w:proofErr w:type="spellEnd"/>
          </w:p>
        </w:tc>
      </w:tr>
    </w:tbl>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w:t>
      </w:r>
    </w:p>
    <w:p w:rsidR="00E30CD1" w:rsidRPr="00E30CD1" w:rsidRDefault="00E30CD1" w:rsidP="00E30CD1">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b/>
          <w:bCs/>
          <w:color w:val="22272F"/>
          <w:sz w:val="23"/>
          <w:szCs w:val="23"/>
          <w:lang w:eastAsia="ru-RU"/>
        </w:rPr>
        <w:t>УТВЕРЖДЕНЫ</w:t>
      </w:r>
      <w:r w:rsidRPr="00E30CD1">
        <w:rPr>
          <w:rFonts w:ascii="Times New Roman" w:eastAsia="Times New Roman" w:hAnsi="Times New Roman" w:cs="Times New Roman"/>
          <w:b/>
          <w:bCs/>
          <w:color w:val="22272F"/>
          <w:sz w:val="23"/>
          <w:szCs w:val="23"/>
          <w:lang w:eastAsia="ru-RU"/>
        </w:rPr>
        <w:br/>
      </w:r>
      <w:r w:rsidRPr="00E30CD1">
        <w:rPr>
          <w:rFonts w:ascii="Times New Roman" w:eastAsia="Times New Roman" w:hAnsi="Times New Roman" w:cs="Times New Roman"/>
          <w:b/>
          <w:bCs/>
          <w:sz w:val="23"/>
          <w:szCs w:val="23"/>
          <w:lang w:eastAsia="ru-RU"/>
        </w:rPr>
        <w:t>постановлением П</w:t>
      </w:r>
      <w:r w:rsidRPr="00E30CD1">
        <w:rPr>
          <w:rFonts w:ascii="Times New Roman" w:eastAsia="Times New Roman" w:hAnsi="Times New Roman" w:cs="Times New Roman"/>
          <w:b/>
          <w:bCs/>
          <w:color w:val="22272F"/>
          <w:sz w:val="23"/>
          <w:szCs w:val="23"/>
          <w:lang w:eastAsia="ru-RU"/>
        </w:rPr>
        <w:t>равительства</w:t>
      </w:r>
      <w:r w:rsidRPr="00E30CD1">
        <w:rPr>
          <w:rFonts w:ascii="Times New Roman" w:eastAsia="Times New Roman" w:hAnsi="Times New Roman" w:cs="Times New Roman"/>
          <w:b/>
          <w:bCs/>
          <w:color w:val="22272F"/>
          <w:sz w:val="23"/>
          <w:szCs w:val="23"/>
          <w:lang w:eastAsia="ru-RU"/>
        </w:rPr>
        <w:br/>
        <w:t>Российской Федерации</w:t>
      </w:r>
      <w:r w:rsidRPr="00E30CD1">
        <w:rPr>
          <w:rFonts w:ascii="Times New Roman" w:eastAsia="Times New Roman" w:hAnsi="Times New Roman" w:cs="Times New Roman"/>
          <w:b/>
          <w:bCs/>
          <w:color w:val="22272F"/>
          <w:sz w:val="23"/>
          <w:szCs w:val="23"/>
          <w:lang w:eastAsia="ru-RU"/>
        </w:rPr>
        <w:br/>
        <w:t xml:space="preserve">от 24 ноября 2021 г. </w:t>
      </w:r>
      <w:r>
        <w:rPr>
          <w:rFonts w:ascii="Times New Roman" w:eastAsia="Times New Roman" w:hAnsi="Times New Roman" w:cs="Times New Roman"/>
          <w:b/>
          <w:bCs/>
          <w:color w:val="22272F"/>
          <w:sz w:val="23"/>
          <w:szCs w:val="23"/>
          <w:lang w:eastAsia="ru-RU"/>
        </w:rPr>
        <w:t>№</w:t>
      </w:r>
      <w:r w:rsidRPr="00E30CD1">
        <w:rPr>
          <w:rFonts w:ascii="Times New Roman" w:eastAsia="Times New Roman" w:hAnsi="Times New Roman" w:cs="Times New Roman"/>
          <w:b/>
          <w:bCs/>
          <w:color w:val="22272F"/>
          <w:sz w:val="23"/>
          <w:szCs w:val="23"/>
          <w:lang w:eastAsia="ru-RU"/>
        </w:rPr>
        <w:t> 2024</w:t>
      </w:r>
    </w:p>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30CD1">
        <w:rPr>
          <w:rFonts w:ascii="Times New Roman" w:eastAsia="Times New Roman" w:hAnsi="Times New Roman" w:cs="Times New Roman"/>
          <w:color w:val="22272F"/>
          <w:sz w:val="32"/>
          <w:szCs w:val="32"/>
          <w:lang w:eastAsia="ru-RU"/>
        </w:rPr>
        <w:t>Правила</w:t>
      </w:r>
      <w:r w:rsidRPr="00E30CD1">
        <w:rPr>
          <w:rFonts w:ascii="Times New Roman" w:eastAsia="Times New Roman" w:hAnsi="Times New Roman" w:cs="Times New Roman"/>
          <w:color w:val="22272F"/>
          <w:sz w:val="32"/>
          <w:szCs w:val="32"/>
          <w:lang w:eastAsia="ru-RU"/>
        </w:rPr>
        <w:br/>
        <w:t>казначейского сопровождения, осуществляемого Федеральным казначейством</w:t>
      </w:r>
    </w:p>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30CD1">
        <w:rPr>
          <w:rFonts w:ascii="Times New Roman" w:eastAsia="Times New Roman" w:hAnsi="Times New Roman" w:cs="Times New Roman"/>
          <w:color w:val="22272F"/>
          <w:sz w:val="32"/>
          <w:szCs w:val="32"/>
          <w:lang w:eastAsia="ru-RU"/>
        </w:rPr>
        <w:t>I. Общие положения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 xml:space="preserve"> </w:t>
      </w:r>
      <w:r w:rsidRPr="00E30CD1">
        <w:rPr>
          <w:rFonts w:ascii="Times New Roman" w:eastAsia="Times New Roman" w:hAnsi="Times New Roman" w:cs="Times New Roman"/>
          <w:color w:val="22272F"/>
          <w:sz w:val="23"/>
          <w:szCs w:val="23"/>
          <w:lang w:eastAsia="ru-RU"/>
        </w:rPr>
        <w:t>1. Настоящие Правила устанавливают порядок осуществления Федеральным казначейством казначейского сопровождения средств, определенных федеральным законом о федеральном бюджете на текущий финансовый год и плановый период в соответствии со статьей 242.25 Бюджетного кодекса Российской Федерации, средств, определенных в соответствии со статьей 242.26 Бюджетного кодекса Российской Федерации, на основании обращения высшего исполнительного органа государственной власти субъекта Российской Федерации (местной администрации) в случаях, предусмотренных пунктом 1 статьи 220.2 Бюджетного кодекса Российской Федерации, и иных средств, определенных федеральными законами, решениями Правительства Российской Федерации в случаях, предусмотренных подпунктом 2 пункта 1 статьи 242.26 Бюджетного кодекса Российской Федерации (далее - целевые средства), получаемых (полученных) участниками казначейского сопровождения на основании содержащих условия, соответствующие положениям, установленным пунктом 2 статьи 242.23 Бюджетного кодекса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б)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w:t>
      </w:r>
      <w:r w:rsidRPr="00E30CD1">
        <w:rPr>
          <w:rFonts w:ascii="Times New Roman" w:eastAsia="Times New Roman" w:hAnsi="Times New Roman" w:cs="Times New Roman"/>
          <w:color w:val="22272F"/>
          <w:sz w:val="23"/>
          <w:szCs w:val="23"/>
          <w:lang w:eastAsia="ru-RU"/>
        </w:rPr>
        <w:lastRenderedPageBreak/>
        <w:t>исполнения которых являются субсидии и бюджетные инвестиции, указанные в настоящем абзаце (далее - договор (соглашение);</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абзацах втором и третьем настоящего пункта (далее - контракт (договор).</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2. Положения настоящих Правил распространяются: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E30CD1">
        <w:rPr>
          <w:rFonts w:ascii="Times New Roman" w:eastAsia="Times New Roman" w:hAnsi="Times New Roman" w:cs="Times New Roman"/>
          <w:color w:val="22272F"/>
          <w:sz w:val="23"/>
          <w:szCs w:val="23"/>
          <w:lang w:eastAsia="ru-RU"/>
        </w:rPr>
        <w:t>муниципально</w:t>
      </w:r>
      <w:proofErr w:type="spellEnd"/>
      <w:r w:rsidRPr="00E30CD1">
        <w:rPr>
          <w:rFonts w:ascii="Times New Roman" w:eastAsia="Times New Roman" w:hAnsi="Times New Roman" w:cs="Times New Roman"/>
          <w:color w:val="22272F"/>
          <w:sz w:val="23"/>
          <w:szCs w:val="23"/>
          <w:lang w:eastAsia="ru-RU"/>
        </w:rPr>
        <w:t>-частном партнерстве), контракты (договоры), источником финансового обеспечения которых являются указанные соглашения, если федеральными законами, решениями Правительства Российской Федерации предусмотрены требования об осуществлении казначейского сопровождения средств, предоставляемых на основании таких соглашений;</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б) в отношении участников казначейского сопровождения - на их обособленные (структурные) подразделения.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3. 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подпунктом 6.1 пункта 1 статьи 242.14 Бюджетного кодекса Российской Федерации, и отражаются на аналитических разделах, открываемых в территориальном органе Федерального казначейства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пунктом 7.1 статьи 220.1 Бюджетного кодекса Российской Федерации (далее - лицевой счет).</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4. 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пунктом 4 статьи 242.23 Бюджетного кодекса Российской Федерации (далее - порядок санкционирования).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5. 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статьей 242.13-1 Бюджетного кодекса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6. Ведение и использование лицевого счета (режим лицевого счета), на котором осуществляются операции, указанные в пункте 3 настоящих Правил, определяются разделом II настоящих Правил.</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7. Казначейское сопровождение целевых средств, предоставляемых на основании государственных (муниципальных)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8. При казначейском сопровождении обмен документами между территориальным органом Федерального казначейства, получателем средств федерального бюджета (бюджета субъекта Российской Федерации, местного бюджета), до которого доведены лимиты бюджетных </w:t>
      </w:r>
      <w:r w:rsidRPr="00E30CD1">
        <w:rPr>
          <w:rFonts w:ascii="Times New Roman" w:eastAsia="Times New Roman" w:hAnsi="Times New Roman" w:cs="Times New Roman"/>
          <w:color w:val="22272F"/>
          <w:sz w:val="23"/>
          <w:szCs w:val="23"/>
          <w:lang w:eastAsia="ru-RU"/>
        </w:rPr>
        <w:lastRenderedPageBreak/>
        <w:t>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государственного (муниципального) заказчика или участника казначейского сопровождения (далее - электронная подпись).</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случае обмена документами, содержащими сведения, составляющие государственную тайну,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Представление и хранение документов, предусмотренных настоящими Правилами,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9.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размещается в информационных системах, оператором которых является Федеральное казначейство.</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Информация об операциях по зачислению и списанию целевых средств, а также иная информация, не содержащая сведений, составляющих государственную тайну, предусмотренная настоящими Правилами, предоставляется территориальным органом Федерального казначейства получателю средств бюджета субъекта Российской Федерации (местного бюджета), государственному (муниципальному) заказчику (заказчику), органу исполнительной власти субъекта Российской Федерации (муниципального образования), контрольным (надзорным) органам по их запросу с использованием информационных систем, оператором которых является Федеральное казначейство.</w:t>
      </w:r>
      <w:r w:rsidRPr="00E30CD1">
        <w:rPr>
          <w:rFonts w:ascii="Times New Roman" w:eastAsia="Times New Roman" w:hAnsi="Times New Roman" w:cs="Times New Roman"/>
          <w:color w:val="22272F"/>
          <w:sz w:val="23"/>
          <w:szCs w:val="23"/>
          <w:lang w:eastAsia="ru-RU"/>
        </w:rPr>
        <w:t xml:space="preserve"> .</w:t>
      </w:r>
    </w:p>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30CD1">
        <w:rPr>
          <w:rFonts w:ascii="Times New Roman" w:eastAsia="Times New Roman" w:hAnsi="Times New Roman" w:cs="Times New Roman"/>
          <w:color w:val="22272F"/>
          <w:sz w:val="32"/>
          <w:szCs w:val="32"/>
          <w:lang w:eastAsia="ru-RU"/>
        </w:rPr>
        <w:t>II. Условия ведения и использования лицевого счета (режим лицевого счета)</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 xml:space="preserve"> </w:t>
      </w:r>
      <w:r w:rsidRPr="00E30CD1">
        <w:rPr>
          <w:rFonts w:ascii="Times New Roman" w:eastAsia="Times New Roman" w:hAnsi="Times New Roman" w:cs="Times New Roman"/>
          <w:color w:val="22272F"/>
          <w:sz w:val="23"/>
          <w:szCs w:val="23"/>
          <w:lang w:eastAsia="ru-RU"/>
        </w:rPr>
        <w:t>10. При казначейском сопровождении ведение и использование лицевого счета (режим лицевого счета), предусмотренные настоящим пунктом и пунктами 15, 16 и 18 настоящих Правил (далее - базовое казначейское сопровождение), в дополнение к условиям, установленным пунктом 3 статьи 242.23 Бюджетного кодекса Российской Федерации, предусматривают соблюдение условий, содержащихся в государственных (муниципальных) контрактах, договорах (соглашениях), контрактах (договорах):</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о запрете осуществления операций на лицевом счете, об отказе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w:t>
      </w:r>
      <w:r w:rsidRPr="00E30CD1">
        <w:rPr>
          <w:rFonts w:ascii="Times New Roman" w:eastAsia="Times New Roman" w:hAnsi="Times New Roman" w:cs="Times New Roman"/>
          <w:color w:val="22272F"/>
          <w:sz w:val="23"/>
          <w:szCs w:val="23"/>
          <w:lang w:eastAsia="ru-RU"/>
        </w:rPr>
        <w:lastRenderedPageBreak/>
        <w:t>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 при осуществлении казначейского сопровождения средств государственного оборонного заказа в случаях, предусмотренных пунктом 16 настоящих Правил, и в порядке, предусмотренном частью 1 статьи 6.1 Федерального закона "О государственном оборонном заказе". 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е)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пунктом 12 настоящих Правил) в случае, если возможность такого размещения установлена:</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ж)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з)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пунктом 1 статьи </w:t>
      </w:r>
      <w:r w:rsidRPr="00E30CD1">
        <w:rPr>
          <w:rFonts w:ascii="Times New Roman" w:eastAsia="Times New Roman" w:hAnsi="Times New Roman" w:cs="Times New Roman"/>
          <w:color w:val="22272F"/>
          <w:sz w:val="23"/>
          <w:szCs w:val="23"/>
          <w:lang w:eastAsia="ru-RU"/>
        </w:rPr>
        <w:lastRenderedPageBreak/>
        <w:t>242.22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пунктом 6 статьи 242.22 Бюджетного кодекса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11. Помимо условий, указанных в пункте 10 настоящих Правил, предусматриваются иные условия ведения и использования лицевого счета (режим лицевого счета) при казначейском сопровождении целевых средств, получаемых участниками казначейского сопровождения на основании: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государственных контрактов с единственным поставщиком (подрядчиком, исполнителем), определенным в соответствии с пунктом 2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 единственный поставщик (подрядчик, исполнитель), а также контрактов (договоров), заключаемых в рамках их исполнения, в соответствии с разделом IV настоящих Правил;</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б) государственных контрактов, заключаемых в целях реализации государственного оборонного заказа, а также контрактов (договоров), заключаемых в рамках их исполнения, в соответствии с разделом V настоящих Правил.</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12. Целевые средства в форме бюджетных инвестиций, предусмотренных статьей 80 Бюджетного кодекса Российской Федерации, субсидий в виде имущественного взноса Российской Федерации, предусмотренных статьей 78.3 Бюджетного кодекса Российской Федерации, предоставляемых исключительно в целях увеличения имущества юридического лица, а также целевые средства, источником предоставления которых являются указанные бюджетные инвестиции и субсидии, размещенные на депозитах или в иные финансовые инструменты, в случае, если право их размещения установлено федеральным законом или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на основании которого осуществлено</w:t>
      </w:r>
      <w:r w:rsidRPr="00E30CD1">
        <w:rPr>
          <w:rFonts w:ascii="Times New Roman" w:eastAsia="Times New Roman" w:hAnsi="Times New Roman" w:cs="Times New Roman"/>
          <w:color w:val="22272F"/>
          <w:sz w:val="23"/>
          <w:szCs w:val="23"/>
          <w:lang w:eastAsia="ru-RU"/>
        </w:rPr>
        <w:t xml:space="preserve"> размещение.</w:t>
      </w:r>
    </w:p>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30CD1">
        <w:rPr>
          <w:rFonts w:ascii="Times New Roman" w:eastAsia="Times New Roman" w:hAnsi="Times New Roman" w:cs="Times New Roman"/>
          <w:color w:val="22272F"/>
          <w:sz w:val="32"/>
          <w:szCs w:val="32"/>
          <w:lang w:eastAsia="ru-RU"/>
        </w:rPr>
        <w:t>III. Особенности казначейского сопровождения целевых средств, предоставляемых на основании соглашений о предоставлении субсидий юридическим лицам</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13. При базовом казначейском сопровождении субсидий, предоставляемых участникам казначейского сопровождения, предоставление таких субсидий (за исключением субсидий, предоставляемых с применением казначейского обеспечения обязательств) осуществляется в пределах лимитов бюджетных обязательств на указанные цели, отраженных на лицевых счетах для учета операций по переданным полномочиям получателя бюджетных средств.</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14. Перечисление субсидий участникам казначейского сопровождения с лицевых счетов, указанных в пункте 13 настоящих Правил, осуществляется территориальными органами Федерального казначейства в порядке, установленном Федеральным казначейством, в пределах суммы, необходимой 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15. Операции по списанию целевых средств, источником финансового обеспечения которых являются субсидии, предоставляемые участникам казначейского сопровождения, указанные в пункте 13 настоящих Правил, осуществляются не позднее 2-го рабочего дня, следующего за днем представления участником казначейского сопровождения в территориальный орган Федерального казначейства распоряжений для оплаты денежных обязательств участника </w:t>
      </w:r>
      <w:r w:rsidRPr="00E30CD1">
        <w:rPr>
          <w:rFonts w:ascii="Times New Roman" w:eastAsia="Times New Roman" w:hAnsi="Times New Roman" w:cs="Times New Roman"/>
          <w:color w:val="22272F"/>
          <w:sz w:val="23"/>
          <w:szCs w:val="23"/>
          <w:lang w:eastAsia="ru-RU"/>
        </w:rPr>
        <w:lastRenderedPageBreak/>
        <w:t>казначейского сопровождения после их проверки в соответствии с порядком</w:t>
      </w:r>
      <w:r w:rsidRPr="00E30CD1">
        <w:rPr>
          <w:rFonts w:ascii="Times New Roman" w:eastAsia="Times New Roman" w:hAnsi="Times New Roman" w:cs="Times New Roman"/>
          <w:color w:val="22272F"/>
          <w:sz w:val="23"/>
          <w:szCs w:val="23"/>
          <w:lang w:eastAsia="ru-RU"/>
        </w:rPr>
        <w:t xml:space="preserve"> санкционирования.</w:t>
      </w:r>
    </w:p>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30CD1">
        <w:rPr>
          <w:rFonts w:ascii="Times New Roman" w:eastAsia="Times New Roman" w:hAnsi="Times New Roman" w:cs="Times New Roman"/>
          <w:color w:val="22272F"/>
          <w:sz w:val="32"/>
          <w:szCs w:val="32"/>
          <w:lang w:eastAsia="ru-RU"/>
        </w:rPr>
        <w:t>IV. Особенности казначейского сопровождения целевых средств, получаемых участниками казначейского сопровождения на основании государственных контрактов с единственным поставщиком (подрядчиком, исполнителем) и контрактов (договоров), заключаемых в рамках их исполнения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16. При базовом казначейском сопровождении целевых средств, предоставляемых по государственным контрактам, заключаемым с единственным поставщиком (подрядчиком, исполнителем), а также по контрактам (договорам), заключаемым в целях исполнения указанных государственных контрактов, условия ведения и использования лицевого счета (режим лицевого счета) в дополнение к положениям пунктов 10 и 11 настоящих Правил, содержащимся в таких государственных контрактах, контрактах (договорах), предусматривают:</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государственному контракту, на его счет, открытый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условиях государственного контракта в составе цены товаров (работ, услуг), в случае частичного исполнения государственного контракта, заключаемого с единственным поставщиком (подрядчиком, исполнителем), если результатом такого частичного исполнения являются принятые государственным заказчиком товары (работы, услуги);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б) перечисление прибыли по контракту (договору), заключенному в рамках исполнения государственного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перечисление целевых средств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единственному поставщику (подрядчику, исполнителю) по государственному контракту в случае, если оплата по такому государственному контракту осуществляется единовременно после полного исполнения государственного контракта;</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единственному поставщику (подрядчику, исполнителю), исполнителям (соисполнителям) по государственному контракту, заключаемому с единственным поставщиком (подрядчиком, исполнителем), и контрактам (договорам), заключенным в рамках исполнения государственного контракта с единственным поставщиком (подрядчиком, исполнителем), в </w:t>
      </w:r>
      <w:r w:rsidRPr="00E30CD1">
        <w:rPr>
          <w:rFonts w:ascii="Times New Roman" w:eastAsia="Times New Roman" w:hAnsi="Times New Roman" w:cs="Times New Roman"/>
          <w:color w:val="22272F"/>
          <w:sz w:val="23"/>
          <w:szCs w:val="23"/>
          <w:lang w:eastAsia="ru-RU"/>
        </w:rPr>
        <w:lastRenderedPageBreak/>
        <w:t>случае, если исполнение и оплата такого государственного контракта осуществляются</w:t>
      </w:r>
      <w:r w:rsidRPr="00E30CD1">
        <w:rPr>
          <w:rFonts w:ascii="Times New Roman" w:eastAsia="Times New Roman" w:hAnsi="Times New Roman" w:cs="Times New Roman"/>
          <w:color w:val="22272F"/>
          <w:sz w:val="23"/>
          <w:szCs w:val="23"/>
          <w:lang w:eastAsia="ru-RU"/>
        </w:rPr>
        <w:t xml:space="preserve"> поэтапно.</w:t>
      </w:r>
    </w:p>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30CD1">
        <w:rPr>
          <w:rFonts w:ascii="Times New Roman" w:eastAsia="Times New Roman" w:hAnsi="Times New Roman" w:cs="Times New Roman"/>
          <w:color w:val="22272F"/>
          <w:sz w:val="32"/>
          <w:szCs w:val="32"/>
          <w:lang w:eastAsia="ru-RU"/>
        </w:rPr>
        <w:t>V. Особенности осуществления казначейского сопровождения целевых средств по государственным контрактам, заключаемым в целях реализации государственного оборонного заказа, и контрактам (договорам), заключаемым в рамках их исполнения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17. Для целей настоящего раздела при базовом казначейском сопровождении целевых средств, предоставляемых участникам казначейского сопровождения, являющимся головными исполнителями (исполнителями) по государственным контрактам, заключенным в рамках реализации государственного оборонного заказа, а также по контрактам (договорам), заключенным в целях исполнения указанных государственных контрактов, применяются понятия, определенные Федеральным законом "О государственном оборонном заказе".</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18. При казначейском сопровождении средств государственного оборонного заказа условия ведения и использования лицевого счета (режим лицевого счета) в дополнение к положениям пунктов 10 и 11 настоящих Правил, содержащимся в государственных контрактах, контрактах (договорах), предусматривают условия о перечислении целевых средств на счета, открытые в банке участнику казначейского сопровождения, являющемуся: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головным исполнителем, - в целях перечисления средств в согласованном с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в соответствии с Федеральным законом "О государственном оборонном заказе"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либо в иных порядке и размере, которые определены условиями государственного контракта, в случае частичного исполнения головным исполнителем государственного контракта, если результатом такого частичного исполнения государственного контракта является принятая государственным заказчиком продукция (товары, работы, услуги);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б) исполнителем, - в целях перечисления прибыли в размере, согласованном сторонами при заключении контракта (договора) и предусмотренном его условиями, после исполнения контракта (договора) (отдельного этапа исполнения контракта (договора) в случае, если условиями контракта (договора) предусмотрены этапы исполнения) и представления в территориальный орган Федерального казначейства акта приема-передачи товара, акта выполненных работ (оказанных услуг) или иных документов, подтверждающих исполнение контракта (договора) (отдельного этапа исполнения контракта</w:t>
      </w:r>
      <w:r w:rsidRPr="00E30CD1">
        <w:rPr>
          <w:rFonts w:ascii="Times New Roman" w:eastAsia="Times New Roman" w:hAnsi="Times New Roman" w:cs="Times New Roman"/>
          <w:color w:val="22272F"/>
          <w:sz w:val="23"/>
          <w:szCs w:val="23"/>
          <w:lang w:eastAsia="ru-RU"/>
        </w:rPr>
        <w:t xml:space="preserve"> (договора).</w:t>
      </w:r>
    </w:p>
    <w:p w:rsidR="00E30CD1" w:rsidRPr="00E30CD1" w:rsidRDefault="00E30CD1" w:rsidP="00E30CD1">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b/>
          <w:bCs/>
          <w:color w:val="22272F"/>
          <w:sz w:val="23"/>
          <w:szCs w:val="23"/>
          <w:lang w:eastAsia="ru-RU"/>
        </w:rPr>
        <w:t>УТВЕРЖДЕНЫ</w:t>
      </w:r>
      <w:r w:rsidRPr="00E30CD1">
        <w:rPr>
          <w:rFonts w:ascii="Times New Roman" w:eastAsia="Times New Roman" w:hAnsi="Times New Roman" w:cs="Times New Roman"/>
          <w:b/>
          <w:bCs/>
          <w:color w:val="22272F"/>
          <w:sz w:val="23"/>
          <w:szCs w:val="23"/>
          <w:lang w:eastAsia="ru-RU"/>
        </w:rPr>
        <w:br/>
      </w:r>
      <w:r w:rsidRPr="00E30CD1">
        <w:rPr>
          <w:rFonts w:ascii="Times New Roman" w:eastAsia="Times New Roman" w:hAnsi="Times New Roman" w:cs="Times New Roman"/>
          <w:b/>
          <w:bCs/>
          <w:sz w:val="23"/>
          <w:szCs w:val="23"/>
          <w:lang w:eastAsia="ru-RU"/>
        </w:rPr>
        <w:t>постановлением</w:t>
      </w:r>
      <w:r w:rsidRPr="00E30CD1">
        <w:rPr>
          <w:rFonts w:ascii="Times New Roman" w:eastAsia="Times New Roman" w:hAnsi="Times New Roman" w:cs="Times New Roman"/>
          <w:b/>
          <w:bCs/>
          <w:color w:val="22272F"/>
          <w:sz w:val="23"/>
          <w:szCs w:val="23"/>
          <w:lang w:eastAsia="ru-RU"/>
        </w:rPr>
        <w:t> Правительства</w:t>
      </w:r>
      <w:r w:rsidRPr="00E30CD1">
        <w:rPr>
          <w:rFonts w:ascii="Times New Roman" w:eastAsia="Times New Roman" w:hAnsi="Times New Roman" w:cs="Times New Roman"/>
          <w:b/>
          <w:bCs/>
          <w:color w:val="22272F"/>
          <w:sz w:val="23"/>
          <w:szCs w:val="23"/>
          <w:lang w:eastAsia="ru-RU"/>
        </w:rPr>
        <w:br/>
        <w:t>Российской Федерации</w:t>
      </w:r>
      <w:r w:rsidRPr="00E30CD1">
        <w:rPr>
          <w:rFonts w:ascii="Times New Roman" w:eastAsia="Times New Roman" w:hAnsi="Times New Roman" w:cs="Times New Roman"/>
          <w:b/>
          <w:bCs/>
          <w:color w:val="22272F"/>
          <w:sz w:val="23"/>
          <w:szCs w:val="23"/>
          <w:lang w:eastAsia="ru-RU"/>
        </w:rPr>
        <w:br/>
        <w:t xml:space="preserve">от 24 ноября 2021 г. </w:t>
      </w:r>
      <w:r>
        <w:rPr>
          <w:rFonts w:ascii="Times New Roman" w:eastAsia="Times New Roman" w:hAnsi="Times New Roman" w:cs="Times New Roman"/>
          <w:b/>
          <w:bCs/>
          <w:color w:val="22272F"/>
          <w:sz w:val="23"/>
          <w:szCs w:val="23"/>
          <w:lang w:eastAsia="ru-RU"/>
        </w:rPr>
        <w:t>№</w:t>
      </w:r>
      <w:r w:rsidRPr="00E30CD1">
        <w:rPr>
          <w:rFonts w:ascii="Times New Roman" w:eastAsia="Times New Roman" w:hAnsi="Times New Roman" w:cs="Times New Roman"/>
          <w:b/>
          <w:bCs/>
          <w:color w:val="22272F"/>
          <w:sz w:val="23"/>
          <w:szCs w:val="23"/>
          <w:lang w:eastAsia="ru-RU"/>
        </w:rPr>
        <w:t> 2024</w:t>
      </w:r>
    </w:p>
    <w:p w:rsidR="00E30CD1" w:rsidRPr="00E30CD1" w:rsidRDefault="00E30CD1" w:rsidP="00E30CD1">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E30CD1">
        <w:rPr>
          <w:rFonts w:ascii="Times New Roman" w:eastAsia="Times New Roman" w:hAnsi="Times New Roman" w:cs="Times New Roman"/>
          <w:color w:val="22272F"/>
          <w:sz w:val="32"/>
          <w:szCs w:val="32"/>
          <w:lang w:eastAsia="ru-RU"/>
        </w:rPr>
        <w:t>Правила</w:t>
      </w:r>
      <w:r w:rsidRPr="00E30CD1">
        <w:rPr>
          <w:rFonts w:ascii="Times New Roman" w:eastAsia="Times New Roman" w:hAnsi="Times New Roman" w:cs="Times New Roman"/>
          <w:color w:val="22272F"/>
          <w:sz w:val="32"/>
          <w:szCs w:val="32"/>
          <w:lang w:eastAsia="ru-RU"/>
        </w:rPr>
        <w:br/>
        <w:t>расширенного казначейского сопровождения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1. Настоящие Правила устанавливают порядок и случаи осуществления Федеральным казначейством и финансовыми органами субъектов Российской Федерации (муниципальных </w:t>
      </w:r>
      <w:bookmarkStart w:id="0" w:name="_GoBack"/>
      <w:bookmarkEnd w:id="0"/>
      <w:r w:rsidRPr="00E30CD1">
        <w:rPr>
          <w:rFonts w:ascii="Times New Roman" w:eastAsia="Times New Roman" w:hAnsi="Times New Roman" w:cs="Times New Roman"/>
          <w:color w:val="22272F"/>
          <w:sz w:val="23"/>
          <w:szCs w:val="23"/>
          <w:lang w:eastAsia="ru-RU"/>
        </w:rPr>
        <w:t xml:space="preserve">образований) расширенного казначейского сопровождения средств, подлежащих </w:t>
      </w:r>
      <w:r w:rsidRPr="00E30CD1">
        <w:rPr>
          <w:rFonts w:ascii="Times New Roman" w:eastAsia="Times New Roman" w:hAnsi="Times New Roman" w:cs="Times New Roman"/>
          <w:color w:val="22272F"/>
          <w:sz w:val="23"/>
          <w:szCs w:val="23"/>
          <w:lang w:eastAsia="ru-RU"/>
        </w:rPr>
        <w:lastRenderedPageBreak/>
        <w:t>казначейскому сопровождению в соответствии с Бюджетным кодексом Российской Федерации и предоставляемых из федерального бюджета, бюджета субъекта Российской Федерации (местного бюджета) участникам казначейского сопровождения (далее - целевые средства) на основании определенных в соответствии с пунктом 3 настоящих Правил:</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б)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подпунктах "а" и "б" настоящего пункта (далее - контракт (договор).</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2. При осуществлении расширенного казначейского сопровождения применяются положения Правил казначейского сопровождения, утвержденных постановлением Правительства Российской Федерации от 24 ноября 2021 г. N 2024 "О правилах казначейского сопровождения", и порядка осуществления финансовым органом субъекта Российской Федерации (муниципального образования) казначейского сопровождения, установленного высшим исполнительным органом государственной власти субъекта Российской Федерации (местной администрацией) в соответствии с пунктом 5 статьи 242.23 Бюджетного кодекса Российской Федерации, в случае осуществления расширенного казначейского сопровождения финансовым органом субъекта Российской Федерации (муниципального образования) в соответствии с пунктом 3 статьи 242.24 Бюджетного кодекса Российской Федерации (далее - базовые правила).</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3. Расширенное казначейское сопровождение осуществляется в отношении: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расчетов по государственным контрактам, начальная (максимальная) цена которых составляет 1 млрд. рублей и более, договорам (соглашениям), заключаемым на сумму 1 млрд. рублей и более, источником финансового обеспечения которых являются средства федерального бюджета, а также расчетов по контрактам (договорам), заключаемым в целях исполнения указанных государственных контрактов, договоров (соглашений) на сумму более 600 тыс. рублей, предметом которых является строительство (реконструкция, в том числе с элементами реставрации, техническое перевооружение) объектов капитального строительства или приобретение объектов недвижимого имущества;</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б) расчетов по государственным контрактам, заключаемым в целях обеспечения федеральных нужд с единственным поставщиком (подрядчиком, исполнителем), определенным в соответствии с пунктами 2, 24 и 25 части 1 статьи 93 Федерального закона "О контрактной системе в сфере закупок товаров, работ, услуг для обеспечения государственных и муниципальных нужд", начальная (максимальная) цена которых составляет 1 млрд. рублей и более, а также расчетов по контрактам (договорам), заключаемым в целях исполнения указанных государственных контрактов на сумму более 600 тыс. рублей;</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в) расчетов по государственным (муниципальным) контрактам, договорам (соглашениям), контрактам (договорам), предмет которых определен в подпунктах "а" и "б" настоящего пункта, источником финансового обеспечения исполнения которых являются средства, предоставляемые из бюджета субъекта Российской Федерации (местного бюджета), в случае, </w:t>
      </w:r>
      <w:r w:rsidRPr="00E30CD1">
        <w:rPr>
          <w:rFonts w:ascii="Times New Roman" w:eastAsia="Times New Roman" w:hAnsi="Times New Roman" w:cs="Times New Roman"/>
          <w:color w:val="22272F"/>
          <w:sz w:val="23"/>
          <w:szCs w:val="23"/>
          <w:lang w:eastAsia="ru-RU"/>
        </w:rPr>
        <w:lastRenderedPageBreak/>
        <w:t>если размер цены (суммы) определен законом субъекта Российской Федерации о бюджете субъекта Российской Федерации (решением о местном бюджете) с учетом положений подпункта 1 пункта 1 статьи 242.26 Бюджетного кодекса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г) иных средств, не указанных в подпунктах "а" - "в" настоящего пункта, определенных правовым актом Правительства Российской Федерации, предусмотренных пунктом 1 статьи 242.24 и подпунктом 2 пункта 1 статьи 242.26 Бюджетного кодекса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4. Расширенное казначейское сопровождение целевых средств, указанных в подпунктах "а", "б" и "г" пункта 3 настоящих Правил, осуществляется Федеральным казначейством.</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Расширенное казначейское сопровождение целевых средств, указанных в подпунктах "в" и "г" пункта 3 настоящих Правил, осуществляется финансовыми органами субъектов Российской Федерации (муниципальных образований).</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5. При расширенном казначейском сопровождении средств, указанных в пункте 3 настоящих Правил, условия ведения и использования лицевого счета участника казначейского сопровождения, определенного пунктом 7.1 статьи 220.1 Бюджетного кодекса Российской Федерации (далее - лицевой счет) (режим лицевого счета), устанавливаемые в государственных (муниципальных) контрактах, договорах (соглашениях), контрактах (договорах) в дополнение к соответствующим положениям, определенным базовыми Правилами, включают условия:</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а) о проведении операций с целевыми средствами на лицевых счетах после осуществления территориальным органом Федерального казначейства, финансовым органом субъекта Российской Федерации (муниципального образования) проверок, предусмотренных подпунктом 1 пункта 2 статьи 242.24 Бюджетного кодекса Российской Федерации, на предмет:</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в соответствии с регламентом, утвержденным Федеральным казначейством;</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 указанной в подпункте 5 пункта 2 статьи 242.23 Бюджетного кодекса Российской Федерации,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 xml:space="preserve">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w:t>
      </w:r>
      <w:r w:rsidRPr="00E30CD1">
        <w:rPr>
          <w:rFonts w:ascii="Times New Roman" w:eastAsia="Times New Roman" w:hAnsi="Times New Roman" w:cs="Times New Roman"/>
          <w:color w:val="22272F"/>
          <w:sz w:val="23"/>
          <w:szCs w:val="23"/>
          <w:lang w:eastAsia="ru-RU"/>
        </w:rPr>
        <w:lastRenderedPageBreak/>
        <w:t>(муниципального образования) расходной декларации в порядке и по форме, которые установлены Министерством финансов Российской Федерации;</w:t>
      </w:r>
    </w:p>
    <w:p w:rsidR="00E30CD1" w:rsidRPr="00E30CD1" w:rsidRDefault="00E30CD1" w:rsidP="00E30CD1">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E30CD1">
        <w:rPr>
          <w:rFonts w:ascii="Times New Roman" w:eastAsia="Times New Roman" w:hAnsi="Times New Roman" w:cs="Times New Roman"/>
          <w:color w:val="22272F"/>
          <w:sz w:val="23"/>
          <w:szCs w:val="23"/>
          <w:lang w:eastAsia="ru-RU"/>
        </w:rPr>
        <w:t>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абзаце третьем подпункта "а" настоящего</w:t>
      </w:r>
      <w:r w:rsidRPr="00E30CD1">
        <w:rPr>
          <w:rFonts w:ascii="Times New Roman" w:eastAsia="Times New Roman" w:hAnsi="Times New Roman" w:cs="Times New Roman"/>
          <w:color w:val="22272F"/>
          <w:sz w:val="23"/>
          <w:szCs w:val="23"/>
          <w:lang w:eastAsia="ru-RU"/>
        </w:rPr>
        <w:t xml:space="preserve"> пункта.</w:t>
      </w:r>
    </w:p>
    <w:p w:rsidR="006A5EE4" w:rsidRDefault="006A5EE4"/>
    <w:sectPr w:rsidR="006A5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D1"/>
    <w:rsid w:val="006A5EE4"/>
    <w:rsid w:val="00E30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0587B-0275-4630-A420-B1E89BE4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30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30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30CD1"/>
    <w:rPr>
      <w:color w:val="0000FF"/>
      <w:u w:val="single"/>
    </w:rPr>
  </w:style>
  <w:style w:type="paragraph" w:customStyle="1" w:styleId="s16">
    <w:name w:val="s_16"/>
    <w:basedOn w:val="a"/>
    <w:rsid w:val="00E30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30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E30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30CD1"/>
  </w:style>
  <w:style w:type="paragraph" w:customStyle="1" w:styleId="s9">
    <w:name w:val="s_9"/>
    <w:basedOn w:val="a"/>
    <w:rsid w:val="00E30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3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79296">
      <w:bodyDiv w:val="1"/>
      <w:marLeft w:val="0"/>
      <w:marRight w:val="0"/>
      <w:marTop w:val="0"/>
      <w:marBottom w:val="0"/>
      <w:divBdr>
        <w:top w:val="none" w:sz="0" w:space="0" w:color="auto"/>
        <w:left w:val="none" w:sz="0" w:space="0" w:color="auto"/>
        <w:bottom w:val="none" w:sz="0" w:space="0" w:color="auto"/>
        <w:right w:val="none" w:sz="0" w:space="0" w:color="auto"/>
      </w:divBdr>
    </w:div>
    <w:div w:id="2102099022">
      <w:bodyDiv w:val="1"/>
      <w:marLeft w:val="0"/>
      <w:marRight w:val="0"/>
      <w:marTop w:val="0"/>
      <w:marBottom w:val="0"/>
      <w:divBdr>
        <w:top w:val="none" w:sz="0" w:space="0" w:color="auto"/>
        <w:left w:val="none" w:sz="0" w:space="0" w:color="auto"/>
        <w:bottom w:val="none" w:sz="0" w:space="0" w:color="auto"/>
        <w:right w:val="none" w:sz="0" w:space="0" w:color="auto"/>
      </w:divBdr>
      <w:divsChild>
        <w:div w:id="89007274">
          <w:marLeft w:val="0"/>
          <w:marRight w:val="0"/>
          <w:marTop w:val="0"/>
          <w:marBottom w:val="0"/>
          <w:divBdr>
            <w:top w:val="none" w:sz="0" w:space="0" w:color="auto"/>
            <w:left w:val="none" w:sz="0" w:space="0" w:color="auto"/>
            <w:bottom w:val="none" w:sz="0" w:space="0" w:color="auto"/>
            <w:right w:val="none" w:sz="0" w:space="0" w:color="auto"/>
          </w:divBdr>
          <w:divsChild>
            <w:div w:id="1073773780">
              <w:marLeft w:val="0"/>
              <w:marRight w:val="0"/>
              <w:marTop w:val="0"/>
              <w:marBottom w:val="0"/>
              <w:divBdr>
                <w:top w:val="none" w:sz="0" w:space="0" w:color="auto"/>
                <w:left w:val="none" w:sz="0" w:space="0" w:color="auto"/>
                <w:bottom w:val="none" w:sz="0" w:space="0" w:color="auto"/>
                <w:right w:val="none" w:sz="0" w:space="0" w:color="auto"/>
              </w:divBdr>
              <w:divsChild>
                <w:div w:id="522523311">
                  <w:marLeft w:val="0"/>
                  <w:marRight w:val="0"/>
                  <w:marTop w:val="0"/>
                  <w:marBottom w:val="0"/>
                  <w:divBdr>
                    <w:top w:val="none" w:sz="0" w:space="0" w:color="auto"/>
                    <w:left w:val="none" w:sz="0" w:space="0" w:color="auto"/>
                    <w:bottom w:val="none" w:sz="0" w:space="0" w:color="auto"/>
                    <w:right w:val="none" w:sz="0" w:space="0" w:color="auto"/>
                  </w:divBdr>
                </w:div>
                <w:div w:id="1331324110">
                  <w:marLeft w:val="0"/>
                  <w:marRight w:val="0"/>
                  <w:marTop w:val="0"/>
                  <w:marBottom w:val="0"/>
                  <w:divBdr>
                    <w:top w:val="none" w:sz="0" w:space="0" w:color="auto"/>
                    <w:left w:val="none" w:sz="0" w:space="0" w:color="auto"/>
                    <w:bottom w:val="none" w:sz="0" w:space="0" w:color="auto"/>
                    <w:right w:val="none" w:sz="0" w:space="0" w:color="auto"/>
                  </w:divBdr>
                </w:div>
                <w:div w:id="1644969256">
                  <w:marLeft w:val="0"/>
                  <w:marRight w:val="0"/>
                  <w:marTop w:val="0"/>
                  <w:marBottom w:val="0"/>
                  <w:divBdr>
                    <w:top w:val="none" w:sz="0" w:space="0" w:color="auto"/>
                    <w:left w:val="none" w:sz="0" w:space="0" w:color="auto"/>
                    <w:bottom w:val="none" w:sz="0" w:space="0" w:color="auto"/>
                    <w:right w:val="none" w:sz="0" w:space="0" w:color="auto"/>
                  </w:divBdr>
                  <w:divsChild>
                    <w:div w:id="17617521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05371409">
              <w:marLeft w:val="0"/>
              <w:marRight w:val="0"/>
              <w:marTop w:val="0"/>
              <w:marBottom w:val="0"/>
              <w:divBdr>
                <w:top w:val="none" w:sz="0" w:space="0" w:color="auto"/>
                <w:left w:val="none" w:sz="0" w:space="0" w:color="auto"/>
                <w:bottom w:val="none" w:sz="0" w:space="0" w:color="auto"/>
                <w:right w:val="none" w:sz="0" w:space="0" w:color="auto"/>
              </w:divBdr>
              <w:divsChild>
                <w:div w:id="213274346">
                  <w:marLeft w:val="0"/>
                  <w:marRight w:val="0"/>
                  <w:marTop w:val="0"/>
                  <w:marBottom w:val="0"/>
                  <w:divBdr>
                    <w:top w:val="none" w:sz="0" w:space="0" w:color="auto"/>
                    <w:left w:val="none" w:sz="0" w:space="0" w:color="auto"/>
                    <w:bottom w:val="none" w:sz="0" w:space="0" w:color="auto"/>
                    <w:right w:val="none" w:sz="0" w:space="0" w:color="auto"/>
                  </w:divBdr>
                </w:div>
                <w:div w:id="225799174">
                  <w:marLeft w:val="0"/>
                  <w:marRight w:val="0"/>
                  <w:marTop w:val="0"/>
                  <w:marBottom w:val="0"/>
                  <w:divBdr>
                    <w:top w:val="none" w:sz="0" w:space="0" w:color="auto"/>
                    <w:left w:val="none" w:sz="0" w:space="0" w:color="auto"/>
                    <w:bottom w:val="none" w:sz="0" w:space="0" w:color="auto"/>
                    <w:right w:val="none" w:sz="0" w:space="0" w:color="auto"/>
                  </w:divBdr>
                </w:div>
              </w:divsChild>
            </w:div>
            <w:div w:id="1308243597">
              <w:marLeft w:val="0"/>
              <w:marRight w:val="0"/>
              <w:marTop w:val="0"/>
              <w:marBottom w:val="0"/>
              <w:divBdr>
                <w:top w:val="none" w:sz="0" w:space="0" w:color="auto"/>
                <w:left w:val="none" w:sz="0" w:space="0" w:color="auto"/>
                <w:bottom w:val="none" w:sz="0" w:space="0" w:color="auto"/>
                <w:right w:val="none" w:sz="0" w:space="0" w:color="auto"/>
              </w:divBdr>
            </w:div>
            <w:div w:id="1417172450">
              <w:marLeft w:val="0"/>
              <w:marRight w:val="0"/>
              <w:marTop w:val="0"/>
              <w:marBottom w:val="0"/>
              <w:divBdr>
                <w:top w:val="none" w:sz="0" w:space="0" w:color="auto"/>
                <w:left w:val="none" w:sz="0" w:space="0" w:color="auto"/>
                <w:bottom w:val="none" w:sz="0" w:space="0" w:color="auto"/>
                <w:right w:val="none" w:sz="0" w:space="0" w:color="auto"/>
              </w:divBdr>
            </w:div>
            <w:div w:id="1610118034">
              <w:marLeft w:val="0"/>
              <w:marRight w:val="0"/>
              <w:marTop w:val="0"/>
              <w:marBottom w:val="0"/>
              <w:divBdr>
                <w:top w:val="none" w:sz="0" w:space="0" w:color="auto"/>
                <w:left w:val="none" w:sz="0" w:space="0" w:color="auto"/>
                <w:bottom w:val="none" w:sz="0" w:space="0" w:color="auto"/>
                <w:right w:val="none" w:sz="0" w:space="0" w:color="auto"/>
              </w:divBdr>
            </w:div>
            <w:div w:id="1625580668">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 w:id="235895881">
              <w:marLeft w:val="0"/>
              <w:marRight w:val="0"/>
              <w:marTop w:val="0"/>
              <w:marBottom w:val="0"/>
              <w:divBdr>
                <w:top w:val="none" w:sz="0" w:space="0" w:color="auto"/>
                <w:left w:val="none" w:sz="0" w:space="0" w:color="auto"/>
                <w:bottom w:val="none" w:sz="0" w:space="0" w:color="auto"/>
                <w:right w:val="none" w:sz="0" w:space="0" w:color="auto"/>
              </w:divBdr>
            </w:div>
            <w:div w:id="379479604">
              <w:marLeft w:val="0"/>
              <w:marRight w:val="0"/>
              <w:marTop w:val="0"/>
              <w:marBottom w:val="0"/>
              <w:divBdr>
                <w:top w:val="none" w:sz="0" w:space="0" w:color="auto"/>
                <w:left w:val="none" w:sz="0" w:space="0" w:color="auto"/>
                <w:bottom w:val="none" w:sz="0" w:space="0" w:color="auto"/>
                <w:right w:val="none" w:sz="0" w:space="0" w:color="auto"/>
              </w:divBdr>
            </w:div>
          </w:divsChild>
        </w:div>
        <w:div w:id="1367177416">
          <w:marLeft w:val="0"/>
          <w:marRight w:val="0"/>
          <w:marTop w:val="0"/>
          <w:marBottom w:val="0"/>
          <w:divBdr>
            <w:top w:val="none" w:sz="0" w:space="0" w:color="auto"/>
            <w:left w:val="none" w:sz="0" w:space="0" w:color="auto"/>
            <w:bottom w:val="none" w:sz="0" w:space="0" w:color="auto"/>
            <w:right w:val="none" w:sz="0" w:space="0" w:color="auto"/>
          </w:divBdr>
          <w:divsChild>
            <w:div w:id="442964714">
              <w:marLeft w:val="0"/>
              <w:marRight w:val="0"/>
              <w:marTop w:val="0"/>
              <w:marBottom w:val="0"/>
              <w:divBdr>
                <w:top w:val="none" w:sz="0" w:space="0" w:color="auto"/>
                <w:left w:val="none" w:sz="0" w:space="0" w:color="auto"/>
                <w:bottom w:val="none" w:sz="0" w:space="0" w:color="auto"/>
                <w:right w:val="none" w:sz="0" w:space="0" w:color="auto"/>
              </w:divBdr>
              <w:divsChild>
                <w:div w:id="566451261">
                  <w:marLeft w:val="0"/>
                  <w:marRight w:val="0"/>
                  <w:marTop w:val="0"/>
                  <w:marBottom w:val="0"/>
                  <w:divBdr>
                    <w:top w:val="none" w:sz="0" w:space="0" w:color="auto"/>
                    <w:left w:val="none" w:sz="0" w:space="0" w:color="auto"/>
                    <w:bottom w:val="none" w:sz="0" w:space="0" w:color="auto"/>
                    <w:right w:val="none" w:sz="0" w:space="0" w:color="auto"/>
                  </w:divBdr>
                </w:div>
                <w:div w:id="836189894">
                  <w:marLeft w:val="0"/>
                  <w:marRight w:val="0"/>
                  <w:marTop w:val="0"/>
                  <w:marBottom w:val="0"/>
                  <w:divBdr>
                    <w:top w:val="none" w:sz="0" w:space="0" w:color="auto"/>
                    <w:left w:val="none" w:sz="0" w:space="0" w:color="auto"/>
                    <w:bottom w:val="none" w:sz="0" w:space="0" w:color="auto"/>
                    <w:right w:val="none" w:sz="0" w:space="0" w:color="auto"/>
                  </w:divBdr>
                </w:div>
                <w:div w:id="1514371699">
                  <w:marLeft w:val="0"/>
                  <w:marRight w:val="0"/>
                  <w:marTop w:val="0"/>
                  <w:marBottom w:val="0"/>
                  <w:divBdr>
                    <w:top w:val="none" w:sz="0" w:space="0" w:color="auto"/>
                    <w:left w:val="none" w:sz="0" w:space="0" w:color="auto"/>
                    <w:bottom w:val="none" w:sz="0" w:space="0" w:color="auto"/>
                    <w:right w:val="none" w:sz="0" w:space="0" w:color="auto"/>
                  </w:divBdr>
                </w:div>
                <w:div w:id="1023747649">
                  <w:marLeft w:val="0"/>
                  <w:marRight w:val="0"/>
                  <w:marTop w:val="0"/>
                  <w:marBottom w:val="0"/>
                  <w:divBdr>
                    <w:top w:val="none" w:sz="0" w:space="0" w:color="auto"/>
                    <w:left w:val="none" w:sz="0" w:space="0" w:color="auto"/>
                    <w:bottom w:val="none" w:sz="0" w:space="0" w:color="auto"/>
                    <w:right w:val="none" w:sz="0" w:space="0" w:color="auto"/>
                  </w:divBdr>
                </w:div>
                <w:div w:id="662514983">
                  <w:marLeft w:val="0"/>
                  <w:marRight w:val="0"/>
                  <w:marTop w:val="0"/>
                  <w:marBottom w:val="0"/>
                  <w:divBdr>
                    <w:top w:val="none" w:sz="0" w:space="0" w:color="auto"/>
                    <w:left w:val="none" w:sz="0" w:space="0" w:color="auto"/>
                    <w:bottom w:val="none" w:sz="0" w:space="0" w:color="auto"/>
                    <w:right w:val="none" w:sz="0" w:space="0" w:color="auto"/>
                  </w:divBdr>
                </w:div>
                <w:div w:id="1012998871">
                  <w:marLeft w:val="0"/>
                  <w:marRight w:val="0"/>
                  <w:marTop w:val="0"/>
                  <w:marBottom w:val="0"/>
                  <w:divBdr>
                    <w:top w:val="none" w:sz="0" w:space="0" w:color="auto"/>
                    <w:left w:val="none" w:sz="0" w:space="0" w:color="auto"/>
                    <w:bottom w:val="none" w:sz="0" w:space="0" w:color="auto"/>
                    <w:right w:val="none" w:sz="0" w:space="0" w:color="auto"/>
                  </w:divBdr>
                </w:div>
                <w:div w:id="837698585">
                  <w:marLeft w:val="0"/>
                  <w:marRight w:val="0"/>
                  <w:marTop w:val="0"/>
                  <w:marBottom w:val="0"/>
                  <w:divBdr>
                    <w:top w:val="none" w:sz="0" w:space="0" w:color="auto"/>
                    <w:left w:val="none" w:sz="0" w:space="0" w:color="auto"/>
                    <w:bottom w:val="none" w:sz="0" w:space="0" w:color="auto"/>
                    <w:right w:val="none" w:sz="0" w:space="0" w:color="auto"/>
                  </w:divBdr>
                </w:div>
                <w:div w:id="134570905">
                  <w:marLeft w:val="0"/>
                  <w:marRight w:val="0"/>
                  <w:marTop w:val="0"/>
                  <w:marBottom w:val="0"/>
                  <w:divBdr>
                    <w:top w:val="none" w:sz="0" w:space="0" w:color="auto"/>
                    <w:left w:val="none" w:sz="0" w:space="0" w:color="auto"/>
                    <w:bottom w:val="none" w:sz="0" w:space="0" w:color="auto"/>
                    <w:right w:val="none" w:sz="0" w:space="0" w:color="auto"/>
                  </w:divBdr>
                </w:div>
              </w:divsChild>
            </w:div>
            <w:div w:id="1492522248">
              <w:marLeft w:val="0"/>
              <w:marRight w:val="0"/>
              <w:marTop w:val="0"/>
              <w:marBottom w:val="0"/>
              <w:divBdr>
                <w:top w:val="none" w:sz="0" w:space="0" w:color="auto"/>
                <w:left w:val="none" w:sz="0" w:space="0" w:color="auto"/>
                <w:bottom w:val="none" w:sz="0" w:space="0" w:color="auto"/>
                <w:right w:val="none" w:sz="0" w:space="0" w:color="auto"/>
              </w:divBdr>
              <w:divsChild>
                <w:div w:id="582884817">
                  <w:marLeft w:val="0"/>
                  <w:marRight w:val="0"/>
                  <w:marTop w:val="0"/>
                  <w:marBottom w:val="0"/>
                  <w:divBdr>
                    <w:top w:val="none" w:sz="0" w:space="0" w:color="auto"/>
                    <w:left w:val="none" w:sz="0" w:space="0" w:color="auto"/>
                    <w:bottom w:val="none" w:sz="0" w:space="0" w:color="auto"/>
                    <w:right w:val="none" w:sz="0" w:space="0" w:color="auto"/>
                  </w:divBdr>
                </w:div>
                <w:div w:id="1896550407">
                  <w:marLeft w:val="0"/>
                  <w:marRight w:val="0"/>
                  <w:marTop w:val="0"/>
                  <w:marBottom w:val="0"/>
                  <w:divBdr>
                    <w:top w:val="none" w:sz="0" w:space="0" w:color="auto"/>
                    <w:left w:val="none" w:sz="0" w:space="0" w:color="auto"/>
                    <w:bottom w:val="none" w:sz="0" w:space="0" w:color="auto"/>
                    <w:right w:val="none" w:sz="0" w:space="0" w:color="auto"/>
                  </w:divBdr>
                </w:div>
              </w:divsChild>
            </w:div>
            <w:div w:id="1520974147">
              <w:marLeft w:val="0"/>
              <w:marRight w:val="0"/>
              <w:marTop w:val="0"/>
              <w:marBottom w:val="0"/>
              <w:divBdr>
                <w:top w:val="none" w:sz="0" w:space="0" w:color="auto"/>
                <w:left w:val="none" w:sz="0" w:space="0" w:color="auto"/>
                <w:bottom w:val="none" w:sz="0" w:space="0" w:color="auto"/>
                <w:right w:val="none" w:sz="0" w:space="0" w:color="auto"/>
              </w:divBdr>
            </w:div>
          </w:divsChild>
        </w:div>
        <w:div w:id="674190073">
          <w:marLeft w:val="0"/>
          <w:marRight w:val="0"/>
          <w:marTop w:val="0"/>
          <w:marBottom w:val="0"/>
          <w:divBdr>
            <w:top w:val="none" w:sz="0" w:space="0" w:color="auto"/>
            <w:left w:val="none" w:sz="0" w:space="0" w:color="auto"/>
            <w:bottom w:val="none" w:sz="0" w:space="0" w:color="auto"/>
            <w:right w:val="none" w:sz="0" w:space="0" w:color="auto"/>
          </w:divBdr>
          <w:divsChild>
            <w:div w:id="1059673065">
              <w:marLeft w:val="0"/>
              <w:marRight w:val="0"/>
              <w:marTop w:val="0"/>
              <w:marBottom w:val="0"/>
              <w:divBdr>
                <w:top w:val="none" w:sz="0" w:space="0" w:color="auto"/>
                <w:left w:val="none" w:sz="0" w:space="0" w:color="auto"/>
                <w:bottom w:val="none" w:sz="0" w:space="0" w:color="auto"/>
                <w:right w:val="none" w:sz="0" w:space="0" w:color="auto"/>
              </w:divBdr>
            </w:div>
            <w:div w:id="1041638856">
              <w:marLeft w:val="0"/>
              <w:marRight w:val="0"/>
              <w:marTop w:val="0"/>
              <w:marBottom w:val="0"/>
              <w:divBdr>
                <w:top w:val="none" w:sz="0" w:space="0" w:color="auto"/>
                <w:left w:val="none" w:sz="0" w:space="0" w:color="auto"/>
                <w:bottom w:val="none" w:sz="0" w:space="0" w:color="auto"/>
                <w:right w:val="none" w:sz="0" w:space="0" w:color="auto"/>
              </w:divBdr>
            </w:div>
            <w:div w:id="1939437551">
              <w:marLeft w:val="0"/>
              <w:marRight w:val="0"/>
              <w:marTop w:val="0"/>
              <w:marBottom w:val="0"/>
              <w:divBdr>
                <w:top w:val="none" w:sz="0" w:space="0" w:color="auto"/>
                <w:left w:val="none" w:sz="0" w:space="0" w:color="auto"/>
                <w:bottom w:val="none" w:sz="0" w:space="0" w:color="auto"/>
                <w:right w:val="none" w:sz="0" w:space="0" w:color="auto"/>
              </w:divBdr>
            </w:div>
          </w:divsChild>
        </w:div>
        <w:div w:id="1642033777">
          <w:marLeft w:val="0"/>
          <w:marRight w:val="0"/>
          <w:marTop w:val="0"/>
          <w:marBottom w:val="0"/>
          <w:divBdr>
            <w:top w:val="none" w:sz="0" w:space="0" w:color="auto"/>
            <w:left w:val="none" w:sz="0" w:space="0" w:color="auto"/>
            <w:bottom w:val="none" w:sz="0" w:space="0" w:color="auto"/>
            <w:right w:val="none" w:sz="0" w:space="0" w:color="auto"/>
          </w:divBdr>
          <w:divsChild>
            <w:div w:id="470708681">
              <w:marLeft w:val="0"/>
              <w:marRight w:val="0"/>
              <w:marTop w:val="0"/>
              <w:marBottom w:val="0"/>
              <w:divBdr>
                <w:top w:val="none" w:sz="0" w:space="0" w:color="auto"/>
                <w:left w:val="none" w:sz="0" w:space="0" w:color="auto"/>
                <w:bottom w:val="none" w:sz="0" w:space="0" w:color="auto"/>
                <w:right w:val="none" w:sz="0" w:space="0" w:color="auto"/>
              </w:divBdr>
              <w:divsChild>
                <w:div w:id="734821265">
                  <w:marLeft w:val="0"/>
                  <w:marRight w:val="0"/>
                  <w:marTop w:val="0"/>
                  <w:marBottom w:val="0"/>
                  <w:divBdr>
                    <w:top w:val="none" w:sz="0" w:space="0" w:color="auto"/>
                    <w:left w:val="none" w:sz="0" w:space="0" w:color="auto"/>
                    <w:bottom w:val="none" w:sz="0" w:space="0" w:color="auto"/>
                    <w:right w:val="none" w:sz="0" w:space="0" w:color="auto"/>
                  </w:divBdr>
                </w:div>
                <w:div w:id="355617587">
                  <w:marLeft w:val="0"/>
                  <w:marRight w:val="0"/>
                  <w:marTop w:val="0"/>
                  <w:marBottom w:val="0"/>
                  <w:divBdr>
                    <w:top w:val="none" w:sz="0" w:space="0" w:color="auto"/>
                    <w:left w:val="none" w:sz="0" w:space="0" w:color="auto"/>
                    <w:bottom w:val="none" w:sz="0" w:space="0" w:color="auto"/>
                    <w:right w:val="none" w:sz="0" w:space="0" w:color="auto"/>
                  </w:divBdr>
                </w:div>
                <w:div w:id="20769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7849">
          <w:marLeft w:val="0"/>
          <w:marRight w:val="0"/>
          <w:marTop w:val="0"/>
          <w:marBottom w:val="0"/>
          <w:divBdr>
            <w:top w:val="none" w:sz="0" w:space="0" w:color="auto"/>
            <w:left w:val="none" w:sz="0" w:space="0" w:color="auto"/>
            <w:bottom w:val="none" w:sz="0" w:space="0" w:color="auto"/>
            <w:right w:val="none" w:sz="0" w:space="0" w:color="auto"/>
          </w:divBdr>
          <w:divsChild>
            <w:div w:id="75563455">
              <w:marLeft w:val="0"/>
              <w:marRight w:val="0"/>
              <w:marTop w:val="0"/>
              <w:marBottom w:val="0"/>
              <w:divBdr>
                <w:top w:val="none" w:sz="0" w:space="0" w:color="auto"/>
                <w:left w:val="none" w:sz="0" w:space="0" w:color="auto"/>
                <w:bottom w:val="none" w:sz="0" w:space="0" w:color="auto"/>
                <w:right w:val="none" w:sz="0" w:space="0" w:color="auto"/>
              </w:divBdr>
            </w:div>
            <w:div w:id="771584070">
              <w:marLeft w:val="0"/>
              <w:marRight w:val="0"/>
              <w:marTop w:val="0"/>
              <w:marBottom w:val="0"/>
              <w:divBdr>
                <w:top w:val="none" w:sz="0" w:space="0" w:color="auto"/>
                <w:left w:val="none" w:sz="0" w:space="0" w:color="auto"/>
                <w:bottom w:val="none" w:sz="0" w:space="0" w:color="auto"/>
                <w:right w:val="none" w:sz="0" w:space="0" w:color="auto"/>
              </w:divBdr>
              <w:divsChild>
                <w:div w:id="355884715">
                  <w:marLeft w:val="0"/>
                  <w:marRight w:val="0"/>
                  <w:marTop w:val="0"/>
                  <w:marBottom w:val="0"/>
                  <w:divBdr>
                    <w:top w:val="none" w:sz="0" w:space="0" w:color="auto"/>
                    <w:left w:val="none" w:sz="0" w:space="0" w:color="auto"/>
                    <w:bottom w:val="none" w:sz="0" w:space="0" w:color="auto"/>
                    <w:right w:val="none" w:sz="0" w:space="0" w:color="auto"/>
                  </w:divBdr>
                </w:div>
                <w:div w:id="19908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728">
          <w:marLeft w:val="0"/>
          <w:marRight w:val="0"/>
          <w:marTop w:val="0"/>
          <w:marBottom w:val="0"/>
          <w:divBdr>
            <w:top w:val="none" w:sz="0" w:space="0" w:color="auto"/>
            <w:left w:val="none" w:sz="0" w:space="0" w:color="auto"/>
            <w:bottom w:val="none" w:sz="0" w:space="0" w:color="auto"/>
            <w:right w:val="none" w:sz="0" w:space="0" w:color="auto"/>
          </w:divBdr>
          <w:divsChild>
            <w:div w:id="350885817">
              <w:marLeft w:val="0"/>
              <w:marRight w:val="0"/>
              <w:marTop w:val="0"/>
              <w:marBottom w:val="0"/>
              <w:divBdr>
                <w:top w:val="none" w:sz="0" w:space="0" w:color="auto"/>
                <w:left w:val="none" w:sz="0" w:space="0" w:color="auto"/>
                <w:bottom w:val="none" w:sz="0" w:space="0" w:color="auto"/>
                <w:right w:val="none" w:sz="0" w:space="0" w:color="auto"/>
              </w:divBdr>
            </w:div>
            <w:div w:id="710040013">
              <w:marLeft w:val="0"/>
              <w:marRight w:val="0"/>
              <w:marTop w:val="0"/>
              <w:marBottom w:val="0"/>
              <w:divBdr>
                <w:top w:val="none" w:sz="0" w:space="0" w:color="auto"/>
                <w:left w:val="none" w:sz="0" w:space="0" w:color="auto"/>
                <w:bottom w:val="none" w:sz="0" w:space="0" w:color="auto"/>
                <w:right w:val="none" w:sz="0" w:space="0" w:color="auto"/>
              </w:divBdr>
            </w:div>
            <w:div w:id="585380931">
              <w:marLeft w:val="0"/>
              <w:marRight w:val="0"/>
              <w:marTop w:val="0"/>
              <w:marBottom w:val="0"/>
              <w:divBdr>
                <w:top w:val="none" w:sz="0" w:space="0" w:color="auto"/>
                <w:left w:val="none" w:sz="0" w:space="0" w:color="auto"/>
                <w:bottom w:val="none" w:sz="0" w:space="0" w:color="auto"/>
                <w:right w:val="none" w:sz="0" w:space="0" w:color="auto"/>
              </w:divBdr>
            </w:div>
          </w:divsChild>
        </w:div>
        <w:div w:id="999043633">
          <w:marLeft w:val="0"/>
          <w:marRight w:val="0"/>
          <w:marTop w:val="0"/>
          <w:marBottom w:val="0"/>
          <w:divBdr>
            <w:top w:val="none" w:sz="0" w:space="0" w:color="auto"/>
            <w:left w:val="none" w:sz="0" w:space="0" w:color="auto"/>
            <w:bottom w:val="none" w:sz="0" w:space="0" w:color="auto"/>
            <w:right w:val="none" w:sz="0" w:space="0" w:color="auto"/>
          </w:divBdr>
        </w:div>
        <w:div w:id="763384831">
          <w:marLeft w:val="0"/>
          <w:marRight w:val="0"/>
          <w:marTop w:val="0"/>
          <w:marBottom w:val="0"/>
          <w:divBdr>
            <w:top w:val="none" w:sz="0" w:space="0" w:color="auto"/>
            <w:left w:val="none" w:sz="0" w:space="0" w:color="auto"/>
            <w:bottom w:val="none" w:sz="0" w:space="0" w:color="auto"/>
            <w:right w:val="none" w:sz="0" w:space="0" w:color="auto"/>
          </w:divBdr>
          <w:divsChild>
            <w:div w:id="490297670">
              <w:marLeft w:val="0"/>
              <w:marRight w:val="0"/>
              <w:marTop w:val="0"/>
              <w:marBottom w:val="0"/>
              <w:divBdr>
                <w:top w:val="none" w:sz="0" w:space="0" w:color="auto"/>
                <w:left w:val="none" w:sz="0" w:space="0" w:color="auto"/>
                <w:bottom w:val="none" w:sz="0" w:space="0" w:color="auto"/>
                <w:right w:val="none" w:sz="0" w:space="0" w:color="auto"/>
              </w:divBdr>
            </w:div>
            <w:div w:id="78915705">
              <w:marLeft w:val="0"/>
              <w:marRight w:val="0"/>
              <w:marTop w:val="0"/>
              <w:marBottom w:val="0"/>
              <w:divBdr>
                <w:top w:val="none" w:sz="0" w:space="0" w:color="auto"/>
                <w:left w:val="none" w:sz="0" w:space="0" w:color="auto"/>
                <w:bottom w:val="none" w:sz="0" w:space="0" w:color="auto"/>
                <w:right w:val="none" w:sz="0" w:space="0" w:color="auto"/>
              </w:divBdr>
            </w:div>
            <w:div w:id="999844156">
              <w:marLeft w:val="0"/>
              <w:marRight w:val="0"/>
              <w:marTop w:val="0"/>
              <w:marBottom w:val="0"/>
              <w:divBdr>
                <w:top w:val="none" w:sz="0" w:space="0" w:color="auto"/>
                <w:left w:val="none" w:sz="0" w:space="0" w:color="auto"/>
                <w:bottom w:val="none" w:sz="0" w:space="0" w:color="auto"/>
                <w:right w:val="none" w:sz="0" w:space="0" w:color="auto"/>
              </w:divBdr>
            </w:div>
            <w:div w:id="1396930866">
              <w:marLeft w:val="0"/>
              <w:marRight w:val="0"/>
              <w:marTop w:val="0"/>
              <w:marBottom w:val="0"/>
              <w:divBdr>
                <w:top w:val="none" w:sz="0" w:space="0" w:color="auto"/>
                <w:left w:val="none" w:sz="0" w:space="0" w:color="auto"/>
                <w:bottom w:val="none" w:sz="0" w:space="0" w:color="auto"/>
                <w:right w:val="none" w:sz="0" w:space="0" w:color="auto"/>
              </w:divBdr>
            </w:div>
          </w:divsChild>
        </w:div>
        <w:div w:id="1874687267">
          <w:marLeft w:val="0"/>
          <w:marRight w:val="0"/>
          <w:marTop w:val="0"/>
          <w:marBottom w:val="0"/>
          <w:divBdr>
            <w:top w:val="none" w:sz="0" w:space="0" w:color="auto"/>
            <w:left w:val="none" w:sz="0" w:space="0" w:color="auto"/>
            <w:bottom w:val="none" w:sz="0" w:space="0" w:color="auto"/>
            <w:right w:val="none" w:sz="0" w:space="0" w:color="auto"/>
          </w:divBdr>
        </w:div>
        <w:div w:id="517961339">
          <w:marLeft w:val="0"/>
          <w:marRight w:val="0"/>
          <w:marTop w:val="0"/>
          <w:marBottom w:val="0"/>
          <w:divBdr>
            <w:top w:val="none" w:sz="0" w:space="0" w:color="auto"/>
            <w:left w:val="none" w:sz="0" w:space="0" w:color="auto"/>
            <w:bottom w:val="none" w:sz="0" w:space="0" w:color="auto"/>
            <w:right w:val="none" w:sz="0" w:space="0" w:color="auto"/>
          </w:divBdr>
          <w:divsChild>
            <w:div w:id="1609240783">
              <w:marLeft w:val="0"/>
              <w:marRight w:val="0"/>
              <w:marTop w:val="0"/>
              <w:marBottom w:val="0"/>
              <w:divBdr>
                <w:top w:val="none" w:sz="0" w:space="0" w:color="auto"/>
                <w:left w:val="none" w:sz="0" w:space="0" w:color="auto"/>
                <w:bottom w:val="none" w:sz="0" w:space="0" w:color="auto"/>
                <w:right w:val="none" w:sz="0" w:space="0" w:color="auto"/>
              </w:divBdr>
            </w:div>
            <w:div w:id="1628009493">
              <w:marLeft w:val="0"/>
              <w:marRight w:val="0"/>
              <w:marTop w:val="0"/>
              <w:marBottom w:val="0"/>
              <w:divBdr>
                <w:top w:val="none" w:sz="0" w:space="0" w:color="auto"/>
                <w:left w:val="none" w:sz="0" w:space="0" w:color="auto"/>
                <w:bottom w:val="none" w:sz="0" w:space="0" w:color="auto"/>
                <w:right w:val="none" w:sz="0" w:space="0" w:color="auto"/>
              </w:divBdr>
            </w:div>
            <w:div w:id="15204405">
              <w:marLeft w:val="0"/>
              <w:marRight w:val="0"/>
              <w:marTop w:val="0"/>
              <w:marBottom w:val="0"/>
              <w:divBdr>
                <w:top w:val="none" w:sz="0" w:space="0" w:color="auto"/>
                <w:left w:val="none" w:sz="0" w:space="0" w:color="auto"/>
                <w:bottom w:val="none" w:sz="0" w:space="0" w:color="auto"/>
                <w:right w:val="none" w:sz="0" w:space="0" w:color="auto"/>
              </w:divBdr>
            </w:div>
            <w:div w:id="18501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4475</Words>
  <Characters>25512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2021-12-06T12:55:00Z</dcterms:created>
  <dcterms:modified xsi:type="dcterms:W3CDTF">2021-12-06T13:13:00Z</dcterms:modified>
</cp:coreProperties>
</file>