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1F9" w:rsidRPr="007261F9" w:rsidRDefault="007261F9" w:rsidP="007261F9">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7261F9">
        <w:rPr>
          <w:rFonts w:ascii="Times New Roman" w:eastAsia="Times New Roman" w:hAnsi="Times New Roman" w:cs="Times New Roman"/>
          <w:b/>
          <w:bCs/>
          <w:color w:val="22272F"/>
          <w:kern w:val="36"/>
          <w:sz w:val="33"/>
          <w:szCs w:val="33"/>
          <w:lang w:eastAsia="ru-RU"/>
        </w:rPr>
        <w:t xml:space="preserve">Постановление Правительства РФ от 1 декабря 2021 г. </w:t>
      </w:r>
      <w:r>
        <w:rPr>
          <w:rFonts w:ascii="Times New Roman" w:eastAsia="Times New Roman" w:hAnsi="Times New Roman" w:cs="Times New Roman"/>
          <w:b/>
          <w:bCs/>
          <w:color w:val="22272F"/>
          <w:kern w:val="36"/>
          <w:sz w:val="33"/>
          <w:szCs w:val="33"/>
          <w:lang w:eastAsia="ru-RU"/>
        </w:rPr>
        <w:t>№</w:t>
      </w:r>
      <w:r w:rsidRPr="007261F9">
        <w:rPr>
          <w:rFonts w:ascii="Times New Roman" w:eastAsia="Times New Roman" w:hAnsi="Times New Roman" w:cs="Times New Roman"/>
          <w:b/>
          <w:bCs/>
          <w:color w:val="22272F"/>
          <w:kern w:val="36"/>
          <w:sz w:val="33"/>
          <w:szCs w:val="33"/>
          <w:lang w:eastAsia="ru-RU"/>
        </w:rPr>
        <w:t xml:space="preserve"> 2155 "Об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w:t>
      </w:r>
    </w:p>
    <w:p w:rsidR="007261F9" w:rsidRPr="007261F9" w:rsidRDefault="007261F9" w:rsidP="007261F9">
      <w:pPr>
        <w:shd w:val="clear" w:color="auto" w:fill="FFFFFF"/>
        <w:spacing w:after="0" w:line="240" w:lineRule="auto"/>
        <w:rPr>
          <w:rFonts w:ascii="Times New Roman" w:eastAsia="Times New Roman" w:hAnsi="Times New Roman" w:cs="Times New Roman"/>
          <w:color w:val="22272F"/>
          <w:sz w:val="23"/>
          <w:szCs w:val="23"/>
          <w:lang w:eastAsia="ru-RU"/>
        </w:rPr>
      </w:pPr>
      <w:bookmarkStart w:id="0" w:name="text"/>
      <w:bookmarkEnd w:id="0"/>
      <w:r w:rsidRPr="007261F9">
        <w:rPr>
          <w:rFonts w:ascii="Times New Roman" w:eastAsia="Times New Roman" w:hAnsi="Times New Roman" w:cs="Times New Roman"/>
          <w:color w:val="22272F"/>
          <w:sz w:val="23"/>
          <w:szCs w:val="23"/>
          <w:lang w:eastAsia="ru-RU"/>
        </w:rPr>
        <w:t> </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В соот</w:t>
      </w:r>
      <w:r>
        <w:rPr>
          <w:rFonts w:ascii="Times New Roman" w:eastAsia="Times New Roman" w:hAnsi="Times New Roman" w:cs="Times New Roman"/>
          <w:color w:val="464C55"/>
          <w:sz w:val="24"/>
          <w:szCs w:val="24"/>
          <w:lang w:eastAsia="ru-RU"/>
        </w:rPr>
        <w:t>ветствии с пунктом 5 статьи 242</w:t>
      </w:r>
      <w:r w:rsidRPr="007261F9">
        <w:rPr>
          <w:rFonts w:ascii="Times New Roman" w:eastAsia="Times New Roman" w:hAnsi="Times New Roman" w:cs="Times New Roman"/>
          <w:color w:val="464C55"/>
          <w:sz w:val="24"/>
          <w:szCs w:val="24"/>
          <w:vertAlign w:val="superscript"/>
          <w:lang w:eastAsia="ru-RU"/>
        </w:rPr>
        <w:t>23</w:t>
      </w:r>
      <w:r w:rsidRPr="007261F9">
        <w:rPr>
          <w:rFonts w:ascii="Times New Roman" w:eastAsia="Times New Roman" w:hAnsi="Times New Roman" w:cs="Times New Roman"/>
          <w:color w:val="464C55"/>
          <w:sz w:val="24"/>
          <w:szCs w:val="24"/>
          <w:lang w:eastAsia="ru-RU"/>
        </w:rPr>
        <w:t xml:space="preserve"> Бюджетного кодекса Российской Федерации Правительство Российской Федерации постановляет:</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 xml:space="preserve">1. Утвердить прилагаемые общие требования к порядку осуществления финансовыми органами субъектов Российской Федерации (муниципальных образований) казначейского сопровождения </w:t>
      </w:r>
      <w:r w:rsidRPr="007261F9">
        <w:rPr>
          <w:rFonts w:ascii="Times New Roman" w:eastAsia="Times New Roman" w:hAnsi="Times New Roman" w:cs="Times New Roman"/>
          <w:color w:val="464C55"/>
          <w:sz w:val="24"/>
          <w:szCs w:val="24"/>
          <w:lang w:eastAsia="ru-RU"/>
        </w:rPr>
        <w:t>средств.</w:t>
      </w:r>
    </w:p>
    <w:p w:rsidR="007261F9" w:rsidRPr="007261F9" w:rsidRDefault="007261F9" w:rsidP="007261F9">
      <w:pPr>
        <w:shd w:val="clear" w:color="auto" w:fill="FFFFFF"/>
        <w:spacing w:after="30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2. Настоящее постановление вступает в силу с 1 января 2022 г.</w:t>
      </w:r>
    </w:p>
    <w:p w:rsidR="007261F9" w:rsidRPr="007261F9" w:rsidRDefault="007261F9" w:rsidP="007261F9">
      <w:pPr>
        <w:shd w:val="clear" w:color="auto" w:fill="FFFFFF"/>
        <w:spacing w:after="0" w:line="240" w:lineRule="auto"/>
        <w:rPr>
          <w:rFonts w:ascii="Times New Roman" w:eastAsia="Times New Roman" w:hAnsi="Times New Roman" w:cs="Times New Roman"/>
          <w:color w:val="22272F"/>
          <w:sz w:val="23"/>
          <w:szCs w:val="23"/>
          <w:lang w:eastAsia="ru-RU"/>
        </w:rPr>
      </w:pPr>
      <w:r w:rsidRPr="007261F9">
        <w:rPr>
          <w:rFonts w:ascii="Times New Roman" w:eastAsia="Times New Roman" w:hAnsi="Times New Roman" w:cs="Times New Roman"/>
          <w:color w:val="22272F"/>
          <w:sz w:val="23"/>
          <w:szCs w:val="23"/>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7261F9" w:rsidRPr="007261F9" w:rsidTr="007261F9">
        <w:tc>
          <w:tcPr>
            <w:tcW w:w="3300" w:type="pct"/>
            <w:shd w:val="clear" w:color="auto" w:fill="FFFFFF"/>
            <w:vAlign w:val="bottom"/>
            <w:hideMark/>
          </w:tcPr>
          <w:p w:rsidR="007261F9" w:rsidRPr="007261F9" w:rsidRDefault="007261F9" w:rsidP="007261F9">
            <w:pPr>
              <w:spacing w:after="0" w:line="240" w:lineRule="auto"/>
              <w:ind w:left="75" w:right="75"/>
              <w:rPr>
                <w:rFonts w:ascii="Times New Roman" w:eastAsia="Times New Roman" w:hAnsi="Times New Roman" w:cs="Times New Roman"/>
                <w:sz w:val="24"/>
                <w:szCs w:val="24"/>
                <w:lang w:eastAsia="ru-RU"/>
              </w:rPr>
            </w:pPr>
            <w:r w:rsidRPr="007261F9">
              <w:rPr>
                <w:rFonts w:ascii="Times New Roman" w:eastAsia="Times New Roman" w:hAnsi="Times New Roman" w:cs="Times New Roman"/>
                <w:sz w:val="24"/>
                <w:szCs w:val="24"/>
                <w:lang w:eastAsia="ru-RU"/>
              </w:rPr>
              <w:t>Председатель Правительства</w:t>
            </w:r>
            <w:r w:rsidRPr="007261F9">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7261F9" w:rsidRPr="007261F9" w:rsidRDefault="007261F9" w:rsidP="007261F9">
            <w:pPr>
              <w:spacing w:before="75" w:after="75" w:line="240" w:lineRule="auto"/>
              <w:ind w:left="75" w:right="75"/>
              <w:jc w:val="right"/>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М. </w:t>
            </w:r>
            <w:proofErr w:type="spellStart"/>
            <w:r w:rsidRPr="007261F9">
              <w:rPr>
                <w:rFonts w:ascii="Times New Roman" w:eastAsia="Times New Roman" w:hAnsi="Times New Roman" w:cs="Times New Roman"/>
                <w:color w:val="464C55"/>
                <w:sz w:val="24"/>
                <w:szCs w:val="24"/>
                <w:lang w:eastAsia="ru-RU"/>
              </w:rPr>
              <w:t>Мишустин</w:t>
            </w:r>
            <w:proofErr w:type="spellEnd"/>
          </w:p>
        </w:tc>
      </w:tr>
    </w:tbl>
    <w:p w:rsidR="007261F9" w:rsidRPr="007261F9" w:rsidRDefault="007261F9" w:rsidP="007261F9">
      <w:pPr>
        <w:shd w:val="clear" w:color="auto" w:fill="FFFFFF"/>
        <w:spacing w:after="0" w:line="240" w:lineRule="auto"/>
        <w:rPr>
          <w:rFonts w:ascii="Times New Roman" w:eastAsia="Times New Roman" w:hAnsi="Times New Roman" w:cs="Times New Roman"/>
          <w:color w:val="22272F"/>
          <w:sz w:val="23"/>
          <w:szCs w:val="23"/>
          <w:lang w:eastAsia="ru-RU"/>
        </w:rPr>
      </w:pPr>
      <w:r w:rsidRPr="007261F9">
        <w:rPr>
          <w:rFonts w:ascii="Times New Roman" w:eastAsia="Times New Roman" w:hAnsi="Times New Roman" w:cs="Times New Roman"/>
          <w:color w:val="22272F"/>
          <w:sz w:val="23"/>
          <w:szCs w:val="23"/>
          <w:lang w:eastAsia="ru-RU"/>
        </w:rPr>
        <w:t> </w:t>
      </w:r>
    </w:p>
    <w:p w:rsidR="007261F9" w:rsidRPr="007261F9" w:rsidRDefault="007261F9" w:rsidP="007261F9">
      <w:pPr>
        <w:shd w:val="clear" w:color="auto" w:fill="FFFFFF"/>
        <w:spacing w:after="0" w:line="240" w:lineRule="auto"/>
        <w:ind w:firstLine="680"/>
        <w:jc w:val="right"/>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b/>
          <w:bCs/>
          <w:color w:val="22272F"/>
          <w:sz w:val="24"/>
          <w:szCs w:val="24"/>
          <w:lang w:eastAsia="ru-RU"/>
        </w:rPr>
        <w:t>УТВЕРЖДЕНЫ</w:t>
      </w:r>
      <w:r w:rsidRPr="007261F9">
        <w:rPr>
          <w:rFonts w:ascii="Times New Roman" w:eastAsia="Times New Roman" w:hAnsi="Times New Roman" w:cs="Times New Roman"/>
          <w:b/>
          <w:bCs/>
          <w:color w:val="22272F"/>
          <w:sz w:val="24"/>
          <w:szCs w:val="24"/>
          <w:lang w:eastAsia="ru-RU"/>
        </w:rPr>
        <w:br/>
      </w:r>
      <w:r w:rsidRPr="007261F9">
        <w:rPr>
          <w:rFonts w:ascii="Times New Roman" w:eastAsia="Times New Roman" w:hAnsi="Times New Roman" w:cs="Times New Roman"/>
          <w:b/>
          <w:bCs/>
          <w:sz w:val="24"/>
          <w:szCs w:val="24"/>
          <w:lang w:eastAsia="ru-RU"/>
        </w:rPr>
        <w:t>постановлением </w:t>
      </w:r>
      <w:r w:rsidRPr="007261F9">
        <w:rPr>
          <w:rFonts w:ascii="Times New Roman" w:eastAsia="Times New Roman" w:hAnsi="Times New Roman" w:cs="Times New Roman"/>
          <w:b/>
          <w:bCs/>
          <w:color w:val="22272F"/>
          <w:sz w:val="24"/>
          <w:szCs w:val="24"/>
          <w:lang w:eastAsia="ru-RU"/>
        </w:rPr>
        <w:t>Правительства</w:t>
      </w:r>
      <w:r w:rsidRPr="007261F9">
        <w:rPr>
          <w:rFonts w:ascii="Times New Roman" w:eastAsia="Times New Roman" w:hAnsi="Times New Roman" w:cs="Times New Roman"/>
          <w:b/>
          <w:bCs/>
          <w:color w:val="22272F"/>
          <w:sz w:val="24"/>
          <w:szCs w:val="24"/>
          <w:lang w:eastAsia="ru-RU"/>
        </w:rPr>
        <w:br/>
        <w:t>Российской Федерации</w:t>
      </w:r>
      <w:r w:rsidRPr="007261F9">
        <w:rPr>
          <w:rFonts w:ascii="Times New Roman" w:eastAsia="Times New Roman" w:hAnsi="Times New Roman" w:cs="Times New Roman"/>
          <w:b/>
          <w:bCs/>
          <w:color w:val="22272F"/>
          <w:sz w:val="24"/>
          <w:szCs w:val="24"/>
          <w:lang w:eastAsia="ru-RU"/>
        </w:rPr>
        <w:br/>
        <w:t xml:space="preserve">от 1 декабря 2021 г. </w:t>
      </w:r>
      <w:r>
        <w:rPr>
          <w:rFonts w:ascii="Times New Roman" w:eastAsia="Times New Roman" w:hAnsi="Times New Roman" w:cs="Times New Roman"/>
          <w:b/>
          <w:bCs/>
          <w:color w:val="22272F"/>
          <w:sz w:val="24"/>
          <w:szCs w:val="24"/>
          <w:lang w:eastAsia="ru-RU"/>
        </w:rPr>
        <w:t>№</w:t>
      </w:r>
      <w:r w:rsidRPr="007261F9">
        <w:rPr>
          <w:rFonts w:ascii="Times New Roman" w:eastAsia="Times New Roman" w:hAnsi="Times New Roman" w:cs="Times New Roman"/>
          <w:b/>
          <w:bCs/>
          <w:color w:val="22272F"/>
          <w:sz w:val="24"/>
          <w:szCs w:val="24"/>
          <w:lang w:eastAsia="ru-RU"/>
        </w:rPr>
        <w:t> 2155</w:t>
      </w:r>
    </w:p>
    <w:p w:rsidR="007261F9" w:rsidRPr="007261F9" w:rsidRDefault="007261F9" w:rsidP="007261F9">
      <w:pPr>
        <w:shd w:val="clear" w:color="auto" w:fill="FFFFFF"/>
        <w:spacing w:after="0" w:line="240" w:lineRule="auto"/>
        <w:rPr>
          <w:rFonts w:ascii="Times New Roman" w:eastAsia="Times New Roman" w:hAnsi="Times New Roman" w:cs="Times New Roman"/>
          <w:color w:val="22272F"/>
          <w:sz w:val="23"/>
          <w:szCs w:val="23"/>
          <w:lang w:eastAsia="ru-RU"/>
        </w:rPr>
      </w:pPr>
      <w:r w:rsidRPr="007261F9">
        <w:rPr>
          <w:rFonts w:ascii="Times New Roman" w:eastAsia="Times New Roman" w:hAnsi="Times New Roman" w:cs="Times New Roman"/>
          <w:color w:val="22272F"/>
          <w:sz w:val="23"/>
          <w:szCs w:val="23"/>
          <w:lang w:eastAsia="ru-RU"/>
        </w:rPr>
        <w:t> </w:t>
      </w:r>
    </w:p>
    <w:p w:rsidR="007261F9" w:rsidRPr="007261F9" w:rsidRDefault="007261F9" w:rsidP="007261F9">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7261F9">
        <w:rPr>
          <w:rFonts w:ascii="Times New Roman" w:eastAsia="Times New Roman" w:hAnsi="Times New Roman" w:cs="Times New Roman"/>
          <w:b/>
          <w:bCs/>
          <w:color w:val="22272F"/>
          <w:sz w:val="30"/>
          <w:szCs w:val="30"/>
          <w:lang w:eastAsia="ru-RU"/>
        </w:rPr>
        <w:t>Общие требования</w:t>
      </w:r>
      <w:r w:rsidRPr="007261F9">
        <w:rPr>
          <w:rFonts w:ascii="Times New Roman" w:eastAsia="Times New Roman" w:hAnsi="Times New Roman" w:cs="Times New Roman"/>
          <w:b/>
          <w:bCs/>
          <w:color w:val="22272F"/>
          <w:sz w:val="30"/>
          <w:szCs w:val="30"/>
          <w:lang w:eastAsia="ru-RU"/>
        </w:rPr>
        <w:br/>
        <w:t>к порядку осуществления финансовыми органами субъектов Российской Федерации (муниципальных образований) казначейского сопровождения средств</w:t>
      </w:r>
    </w:p>
    <w:p w:rsidR="007261F9" w:rsidRPr="007261F9" w:rsidRDefault="007261F9" w:rsidP="007261F9">
      <w:pPr>
        <w:shd w:val="clear" w:color="auto" w:fill="FFFFFF"/>
        <w:spacing w:after="0" w:line="240" w:lineRule="auto"/>
        <w:rPr>
          <w:rFonts w:ascii="Times New Roman" w:eastAsia="Times New Roman" w:hAnsi="Times New Roman" w:cs="Times New Roman"/>
          <w:color w:val="22272F"/>
          <w:sz w:val="23"/>
          <w:szCs w:val="23"/>
          <w:lang w:eastAsia="ru-RU"/>
        </w:rPr>
      </w:pPr>
      <w:r w:rsidRPr="007261F9">
        <w:rPr>
          <w:rFonts w:ascii="Times New Roman" w:eastAsia="Times New Roman" w:hAnsi="Times New Roman" w:cs="Times New Roman"/>
          <w:color w:val="22272F"/>
          <w:sz w:val="23"/>
          <w:szCs w:val="23"/>
          <w:lang w:eastAsia="ru-RU"/>
        </w:rPr>
        <w:t> </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 xml:space="preserve">1. </w:t>
      </w:r>
      <w:r w:rsidRPr="007261F9">
        <w:rPr>
          <w:rFonts w:ascii="Times New Roman" w:eastAsia="Times New Roman" w:hAnsi="Times New Roman" w:cs="Times New Roman"/>
          <w:color w:val="464C55"/>
          <w:sz w:val="24"/>
          <w:szCs w:val="24"/>
          <w:lang w:eastAsia="ru-RU"/>
        </w:rPr>
        <w:t>Настоящий документ определяет общие требования к порядку осуществления финансовыми органами субъекта Российской Федерации (муниципального образования) казначейского сопровождения средств, определенны</w:t>
      </w:r>
      <w:r>
        <w:rPr>
          <w:rFonts w:ascii="Times New Roman" w:eastAsia="Times New Roman" w:hAnsi="Times New Roman" w:cs="Times New Roman"/>
          <w:color w:val="464C55"/>
          <w:sz w:val="24"/>
          <w:szCs w:val="24"/>
          <w:lang w:eastAsia="ru-RU"/>
        </w:rPr>
        <w:t>х в соответствии со статьей 242</w:t>
      </w:r>
      <w:r w:rsidRPr="007261F9">
        <w:rPr>
          <w:rFonts w:ascii="Times New Roman" w:eastAsia="Times New Roman" w:hAnsi="Times New Roman" w:cs="Times New Roman"/>
          <w:color w:val="464C55"/>
          <w:sz w:val="24"/>
          <w:szCs w:val="24"/>
          <w:vertAlign w:val="superscript"/>
          <w:lang w:eastAsia="ru-RU"/>
        </w:rPr>
        <w:t xml:space="preserve">26 </w:t>
      </w:r>
      <w:r w:rsidRPr="007261F9">
        <w:rPr>
          <w:rFonts w:ascii="Times New Roman" w:eastAsia="Times New Roman" w:hAnsi="Times New Roman" w:cs="Times New Roman"/>
          <w:color w:val="464C55"/>
          <w:sz w:val="24"/>
          <w:szCs w:val="24"/>
          <w:lang w:eastAsia="ru-RU"/>
        </w:rPr>
        <w:t>Бюджетного кодекса Российской Федерации, предоставляемых участникам казначейского сопровождения из бюджета субъекта Российской Федерации (местного бюджета) (далее соответственно - целевые средства, региональный (муниципальный) участник казначейского сопровождения).</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2. Порядок осуществления казначейского сопровождения целевых средств, установленный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(далее - порядок казначейского сопровождения целевых средств), содержит в том числе следующие положения:</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 xml:space="preserve">а) о предоставлении целевых средств на основании государственных (муниципальных) контрактов о поставке товаров, выполнении работ, оказании услуг (далее - государственный (муниципальный) контракт), договоров (соглашений) о предоставлении субсидий, договоров о предоставлении бюджетных инвестиций в соответствии со статьей 80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указанные субсидии и бюджетные инвестиции (далее - договор (соглашение), контрактов (договоров) о поставке товаров, выполнении работ, оказании услуг, источником финансового </w:t>
      </w:r>
      <w:r w:rsidRPr="007261F9">
        <w:rPr>
          <w:rFonts w:ascii="Times New Roman" w:eastAsia="Times New Roman" w:hAnsi="Times New Roman" w:cs="Times New Roman"/>
          <w:color w:val="464C55"/>
          <w:sz w:val="24"/>
          <w:szCs w:val="24"/>
          <w:lang w:eastAsia="ru-RU"/>
        </w:rPr>
        <w:lastRenderedPageBreak/>
        <w:t>обеспечения исполнения обязательств по которым являются средства, предоставленные в рамках исполнения государственных (муниципальных) контрактов, договоров (соглашений) (далее - контракт (договор), содержащих положения, аналогичные уст</w:t>
      </w:r>
      <w:r>
        <w:rPr>
          <w:rFonts w:ascii="Times New Roman" w:eastAsia="Times New Roman" w:hAnsi="Times New Roman" w:cs="Times New Roman"/>
          <w:color w:val="464C55"/>
          <w:sz w:val="24"/>
          <w:szCs w:val="24"/>
          <w:lang w:eastAsia="ru-RU"/>
        </w:rPr>
        <w:t>ановленным пунктом 2 статьи 242</w:t>
      </w:r>
      <w:r w:rsidRPr="007261F9">
        <w:rPr>
          <w:rFonts w:ascii="Times New Roman" w:eastAsia="Times New Roman" w:hAnsi="Times New Roman" w:cs="Times New Roman"/>
          <w:color w:val="464C55"/>
          <w:sz w:val="24"/>
          <w:szCs w:val="24"/>
          <w:vertAlign w:val="superscript"/>
          <w:lang w:eastAsia="ru-RU"/>
        </w:rPr>
        <w:t>23</w:t>
      </w:r>
      <w:r w:rsidRPr="007261F9">
        <w:rPr>
          <w:rFonts w:ascii="Times New Roman" w:eastAsia="Times New Roman" w:hAnsi="Times New Roman" w:cs="Times New Roman"/>
          <w:color w:val="464C55"/>
          <w:sz w:val="24"/>
          <w:szCs w:val="24"/>
          <w:lang w:eastAsia="ru-RU"/>
        </w:rPr>
        <w:t xml:space="preserve"> Бюджетного кодекса Российской Федерации;</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б) об осуществлении операций с целевыми средствами на лицевых счетах, открываемых региональным (муниципальным) участникам казначейского сопровождения в финансовом органе субъекта Российской Федерации (муниципального образования) в установленном им порядке в соответствии с общими требованиями, установленными Федеральным казначейств</w:t>
      </w:r>
      <w:r>
        <w:rPr>
          <w:rFonts w:ascii="Times New Roman" w:eastAsia="Times New Roman" w:hAnsi="Times New Roman" w:cs="Times New Roman"/>
          <w:color w:val="464C55"/>
          <w:sz w:val="24"/>
          <w:szCs w:val="24"/>
          <w:lang w:eastAsia="ru-RU"/>
        </w:rPr>
        <w:t>ом согласно пункту 9 статьи 220</w:t>
      </w:r>
      <w:r w:rsidRPr="007261F9">
        <w:rPr>
          <w:rFonts w:ascii="Times New Roman" w:eastAsia="Times New Roman" w:hAnsi="Times New Roman" w:cs="Times New Roman"/>
          <w:color w:val="464C55"/>
          <w:sz w:val="24"/>
          <w:szCs w:val="24"/>
          <w:vertAlign w:val="superscript"/>
          <w:lang w:eastAsia="ru-RU"/>
        </w:rPr>
        <w:t xml:space="preserve">1 </w:t>
      </w:r>
      <w:r w:rsidRPr="007261F9">
        <w:rPr>
          <w:rFonts w:ascii="Times New Roman" w:eastAsia="Times New Roman" w:hAnsi="Times New Roman" w:cs="Times New Roman"/>
          <w:color w:val="464C55"/>
          <w:sz w:val="24"/>
          <w:szCs w:val="24"/>
          <w:lang w:eastAsia="ru-RU"/>
        </w:rPr>
        <w:t xml:space="preserve">Бюджетного кодекса Российской Федерации (далее - лицевой счет), и необходимости соблюдения региональными (муниципальными) участниками казначейского сопровождения условий ведения и использования лицевого счета (режима лицевого счета), </w:t>
      </w:r>
      <w:r>
        <w:rPr>
          <w:rFonts w:ascii="Times New Roman" w:eastAsia="Times New Roman" w:hAnsi="Times New Roman" w:cs="Times New Roman"/>
          <w:color w:val="464C55"/>
          <w:sz w:val="24"/>
          <w:szCs w:val="24"/>
          <w:lang w:eastAsia="ru-RU"/>
        </w:rPr>
        <w:t>указанных в пункте 3 статьи 242</w:t>
      </w:r>
      <w:r w:rsidRPr="007261F9">
        <w:rPr>
          <w:rFonts w:ascii="Times New Roman" w:eastAsia="Times New Roman" w:hAnsi="Times New Roman" w:cs="Times New Roman"/>
          <w:color w:val="464C55"/>
          <w:sz w:val="24"/>
          <w:szCs w:val="24"/>
          <w:vertAlign w:val="superscript"/>
          <w:lang w:eastAsia="ru-RU"/>
        </w:rPr>
        <w:t>23</w:t>
      </w:r>
      <w:r w:rsidRPr="007261F9">
        <w:rPr>
          <w:rFonts w:ascii="Times New Roman" w:eastAsia="Times New Roman" w:hAnsi="Times New Roman" w:cs="Times New Roman"/>
          <w:color w:val="464C55"/>
          <w:sz w:val="24"/>
          <w:szCs w:val="24"/>
          <w:lang w:eastAsia="ru-RU"/>
        </w:rPr>
        <w:t xml:space="preserve"> Бюджетного кодекса Российской Федерации;</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в) о проведении территориальным органом Федерального казначейства в порядке, установленном Правительством Российской Федераци</w:t>
      </w:r>
      <w:r>
        <w:rPr>
          <w:rFonts w:ascii="Times New Roman" w:eastAsia="Times New Roman" w:hAnsi="Times New Roman" w:cs="Times New Roman"/>
          <w:color w:val="464C55"/>
          <w:sz w:val="24"/>
          <w:szCs w:val="24"/>
          <w:lang w:eastAsia="ru-RU"/>
        </w:rPr>
        <w:t>и в соответствии со статьей 242</w:t>
      </w:r>
      <w:r w:rsidRPr="007261F9">
        <w:rPr>
          <w:rFonts w:ascii="Times New Roman" w:eastAsia="Times New Roman" w:hAnsi="Times New Roman" w:cs="Times New Roman"/>
          <w:color w:val="464C55"/>
          <w:sz w:val="24"/>
          <w:szCs w:val="24"/>
          <w:vertAlign w:val="superscript"/>
          <w:lang w:eastAsia="ru-RU"/>
        </w:rPr>
        <w:t xml:space="preserve">13-1 </w:t>
      </w:r>
      <w:r w:rsidRPr="007261F9">
        <w:rPr>
          <w:rFonts w:ascii="Times New Roman" w:eastAsia="Times New Roman" w:hAnsi="Times New Roman" w:cs="Times New Roman"/>
          <w:color w:val="464C55"/>
          <w:sz w:val="24"/>
          <w:szCs w:val="24"/>
          <w:lang w:eastAsia="ru-RU"/>
        </w:rPr>
        <w:t>Бюджетного кодекса Российской Федерации, бюджетного мониторинга при открытии лицевых счетов и осуществлении операций на указанных лицевых счетах;</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г) о проведении операций с целевыми средствами на лицевых счетах после осуществления финансовым органом субъекта Российской Федерации (муниципального образования) санкционирования указанных операций в порядке, установленном финансовым органом субъекта Российской Федерации (финансовым органом муниципального образования) в соответствии с настоящим документом (далее - порядок санкционирования);</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д) об осуществлении расширенного казначейского сопровождения в случаях и порядке, установленных Правительством Российской Федерации в соот</w:t>
      </w:r>
      <w:r>
        <w:rPr>
          <w:rFonts w:ascii="Times New Roman" w:eastAsia="Times New Roman" w:hAnsi="Times New Roman" w:cs="Times New Roman"/>
          <w:color w:val="464C55"/>
          <w:sz w:val="24"/>
          <w:szCs w:val="24"/>
          <w:lang w:eastAsia="ru-RU"/>
        </w:rPr>
        <w:t>ветствии с пунктом 3 статьи 242</w:t>
      </w:r>
      <w:r w:rsidRPr="007261F9">
        <w:rPr>
          <w:rFonts w:ascii="Times New Roman" w:eastAsia="Times New Roman" w:hAnsi="Times New Roman" w:cs="Times New Roman"/>
          <w:color w:val="464C55"/>
          <w:sz w:val="24"/>
          <w:szCs w:val="24"/>
          <w:vertAlign w:val="superscript"/>
          <w:lang w:eastAsia="ru-RU"/>
        </w:rPr>
        <w:t>24</w:t>
      </w:r>
      <w:r w:rsidRPr="007261F9">
        <w:rPr>
          <w:rFonts w:ascii="Times New Roman" w:eastAsia="Times New Roman" w:hAnsi="Times New Roman" w:cs="Times New Roman"/>
          <w:color w:val="464C55"/>
          <w:sz w:val="24"/>
          <w:szCs w:val="24"/>
          <w:lang w:eastAsia="ru-RU"/>
        </w:rPr>
        <w:t xml:space="preserve"> Бюджетного кодекса Российской Федерации;</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е) о взаимодействии при осуществлении операций с целевыми средствами, а также при обмене документами между финансовым органом субъекта Российской Федерации (муниципального образования), получателем средств бюджета субъекта Российской Федерации (местного бюджета), которому доведены лимиты бюджетных обязательств на предоставление целевых средств, и региональными (муниципальными) участниками казначейского сопровождения, в том числе с учетом соблюдения требований, установленных законодательством Российской Федерации о государственной и иной охраняемой в соответствии с федеральными законами, нормативными правовыми актами Президента Российской Федерации и Правительства Российской Федерации тайне;</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ж) о ежедневном (в рабочие дни) предоставлении финансовым органом субъекта Российской Федерации (муниципального образования) информации о государственных (муниципальных) контрактах, договорах (соглашениях), контрактах (договорах), о лицевых счетах и об операциях по зачислению и списанию целевых средств, отраженных на лицевых счетах в порядке, установленном Федеральным казначейством, в подсистему информационно-аналитического обеспечения государственной интегрированной информационной системы управления общественными финансами "Электронный бюджет", оператором которой является Федеральное казначейство, либо об использовании финансовым органом субъекта Российской Федерации (муниципальным образованием) подсистемы ведения нормативной справочной информации и подсистемы управления расходами указанной информационной системы, оператором которых является Федеральное казначейство, для открытия лицевых счетов региональным (муниципальным) участникам казначейского сопровождения и отражения операций по зачислению и списанию целевых средств на этих лицевых счетах.</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3. В случае если федеральными законами или решениями Правительства Российской Федерации, предусмотренными подпунктом 2 пункта 1 статьи 242</w:t>
      </w:r>
      <w:r w:rsidRPr="007261F9">
        <w:rPr>
          <w:rFonts w:ascii="Times New Roman" w:eastAsia="Times New Roman" w:hAnsi="Times New Roman" w:cs="Times New Roman"/>
          <w:color w:val="464C55"/>
          <w:sz w:val="24"/>
          <w:szCs w:val="24"/>
          <w:vertAlign w:val="superscript"/>
          <w:lang w:eastAsia="ru-RU"/>
        </w:rPr>
        <w:t xml:space="preserve">26 </w:t>
      </w:r>
      <w:r w:rsidRPr="007261F9">
        <w:rPr>
          <w:rFonts w:ascii="Times New Roman" w:eastAsia="Times New Roman" w:hAnsi="Times New Roman" w:cs="Times New Roman"/>
          <w:color w:val="464C55"/>
          <w:sz w:val="24"/>
          <w:szCs w:val="24"/>
          <w:lang w:eastAsia="ru-RU"/>
        </w:rPr>
        <w:t xml:space="preserve">Бюджетного кодекса Российской Федерации, установлены требования о казначейском сопровождении целевых средств, предоставляемых на основании концессионных соглашений, соглашений о </w:t>
      </w:r>
      <w:r w:rsidRPr="007261F9">
        <w:rPr>
          <w:rFonts w:ascii="Times New Roman" w:eastAsia="Times New Roman" w:hAnsi="Times New Roman" w:cs="Times New Roman"/>
          <w:color w:val="464C55"/>
          <w:sz w:val="24"/>
          <w:szCs w:val="24"/>
          <w:lang w:eastAsia="ru-RU"/>
        </w:rPr>
        <w:lastRenderedPageBreak/>
        <w:t>государственно-частном партнерстве (</w:t>
      </w:r>
      <w:proofErr w:type="spellStart"/>
      <w:r w:rsidRPr="007261F9">
        <w:rPr>
          <w:rFonts w:ascii="Times New Roman" w:eastAsia="Times New Roman" w:hAnsi="Times New Roman" w:cs="Times New Roman"/>
          <w:color w:val="464C55"/>
          <w:sz w:val="24"/>
          <w:szCs w:val="24"/>
          <w:lang w:eastAsia="ru-RU"/>
        </w:rPr>
        <w:t>муниципально</w:t>
      </w:r>
      <w:proofErr w:type="spellEnd"/>
      <w:r w:rsidRPr="007261F9">
        <w:rPr>
          <w:rFonts w:ascii="Times New Roman" w:eastAsia="Times New Roman" w:hAnsi="Times New Roman" w:cs="Times New Roman"/>
          <w:color w:val="464C55"/>
          <w:sz w:val="24"/>
          <w:szCs w:val="24"/>
          <w:lang w:eastAsia="ru-RU"/>
        </w:rPr>
        <w:t>-частном партнерстве), порядком казначейского сопровождения целевых средств устанавливаются положения о распространении положений порядка казначейского сопровождения целевых средств, касающихся договоров (соглашений), в отношении указанных соглашений.</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4. Порядок санкционирования содержит в том числе следующие положения:</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а) об осуществлении санкционирования расходов, источником финансового обеспечения которых являются целевые средства (далее - целевые расходы), в соответствии с представляемыми региональными (муниципальными) участниками казначейского сопровождения в финансовый орган субъекта Российской Федерации (муниципального образования) сведениями об операциях с целевыми средствами, содержащими источники поступлений целевых средств, направления расходования целевых средств и иные показатели, необходимые для санкционирования целевых расходов, а также о порядке формирования, утверждения указанных сведений и внесения в них изменений;</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б) о представлении региональным (муниципальным) участником казначейского сопровождения в финансовый орган субъекта Российской Федерации (муниципального образования) для санкционирования целевых расходов вместе с распоряжением о совершении казначейских платежей государственного (муниципального) контракта, договора (соглашения), контракта (договора) и документов, подтверждающих возникновение денежных обязательств региональных (муниципальных) участников казначейского сопровождения, установленных порядком санкционирования (далее - документы-основания), а также о порядке их проверки, в том числе на соответствие сведениям, указанным в подпункте "а" настоящего пункта;</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в) о порядке и сроках проведения проверки представленных региональным (муниципальным) участником казначейского сопровождения распоряжений о совершении казначейских платежей, в том числе проверки:</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соответствия идентификатора государственного (муниципального) контракта, договора (соглашения), определенного в соответствии с п</w:t>
      </w:r>
      <w:r>
        <w:rPr>
          <w:rFonts w:ascii="Times New Roman" w:eastAsia="Times New Roman" w:hAnsi="Times New Roman" w:cs="Times New Roman"/>
          <w:color w:val="464C55"/>
          <w:sz w:val="24"/>
          <w:szCs w:val="24"/>
          <w:lang w:eastAsia="ru-RU"/>
        </w:rPr>
        <w:t>одпунктом 3 пункта 2 статьи 242</w:t>
      </w:r>
      <w:r w:rsidRPr="007261F9">
        <w:rPr>
          <w:rFonts w:ascii="Times New Roman" w:eastAsia="Times New Roman" w:hAnsi="Times New Roman" w:cs="Times New Roman"/>
          <w:color w:val="464C55"/>
          <w:sz w:val="24"/>
          <w:szCs w:val="24"/>
          <w:vertAlign w:val="superscript"/>
          <w:lang w:eastAsia="ru-RU"/>
        </w:rPr>
        <w:t>23</w:t>
      </w:r>
      <w:r w:rsidRPr="007261F9">
        <w:rPr>
          <w:rFonts w:ascii="Times New Roman" w:eastAsia="Times New Roman" w:hAnsi="Times New Roman" w:cs="Times New Roman"/>
          <w:color w:val="464C55"/>
          <w:sz w:val="24"/>
          <w:szCs w:val="24"/>
          <w:lang w:eastAsia="ru-RU"/>
        </w:rPr>
        <w:t xml:space="preserve"> Бюджетного кодекса Российской Федерации, указанного в распоряжении о совершении казначейских платежей, идентификатору, указанному в государственном (муниципальном) контракте, договоре (соглашении), контракте (договоре), документах-основаниях и сведениях, указанных в подпункте "а" настоящего пункта;</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соответствия наименования, идентификационного номера налогоплательщика, кода причины постановки на учет, банковских реквизитов получателя денежных средств, указанных в распоряжении о совершении казначейских платежей, наименованию, идентификационному номеру налогоплательщика, коду причины постановки на учет, банковским реквизитам получателя денежных средств, указанным в контракте (договоре) и документах-основаниях;</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proofErr w:type="spellStart"/>
      <w:r w:rsidRPr="007261F9">
        <w:rPr>
          <w:rFonts w:ascii="Times New Roman" w:eastAsia="Times New Roman" w:hAnsi="Times New Roman" w:cs="Times New Roman"/>
          <w:color w:val="464C55"/>
          <w:sz w:val="24"/>
          <w:szCs w:val="24"/>
          <w:lang w:eastAsia="ru-RU"/>
        </w:rPr>
        <w:t>непревышения</w:t>
      </w:r>
      <w:proofErr w:type="spellEnd"/>
      <w:r w:rsidRPr="007261F9">
        <w:rPr>
          <w:rFonts w:ascii="Times New Roman" w:eastAsia="Times New Roman" w:hAnsi="Times New Roman" w:cs="Times New Roman"/>
          <w:color w:val="464C55"/>
          <w:sz w:val="24"/>
          <w:szCs w:val="24"/>
          <w:lang w:eastAsia="ru-RU"/>
        </w:rPr>
        <w:t xml:space="preserve"> суммы, указанной в распоряжении о совершении казначейских платежей, над суммой остатка средств по соответствующему направлению расходования целевых средств, указанному в сведениях, указанных в подпункте "а" настоящего пункта, и суммой остатка средств на лицевом счете по соответствующему государственному (муниципальному) контракту, договору (соглашению), контракту (договору);</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наличия в распоряжении о совершении казначейских платежей, связанных с поставкой товаров (выполнением работ, оказанием услуг), реквизитов контракта (договора) (номер, дата), документов-оснований (номер, дата, тип) и их соответствия реквизитам контракта (договора), документов-оснований, представленных вместе с распоряжением о совершении казначейских платежей в финансовый орган субъекта Российской Федерации (муниципального образования);</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 xml:space="preserve">соответствия содержания операции по расходам, связанным с поставкой товаров (выполнением работ, оказанием услуг), исходя из документа-основания, текстовому назначению платежа, указанному в распоряжении о совершении казначейских платежей, </w:t>
      </w:r>
      <w:r w:rsidRPr="007261F9">
        <w:rPr>
          <w:rFonts w:ascii="Times New Roman" w:eastAsia="Times New Roman" w:hAnsi="Times New Roman" w:cs="Times New Roman"/>
          <w:color w:val="464C55"/>
          <w:sz w:val="24"/>
          <w:szCs w:val="24"/>
          <w:lang w:eastAsia="ru-RU"/>
        </w:rPr>
        <w:lastRenderedPageBreak/>
        <w:t>предмету (результатам) и ус</w:t>
      </w:r>
      <w:bookmarkStart w:id="1" w:name="_GoBack"/>
      <w:bookmarkEnd w:id="1"/>
      <w:r w:rsidRPr="007261F9">
        <w:rPr>
          <w:rFonts w:ascii="Times New Roman" w:eastAsia="Times New Roman" w:hAnsi="Times New Roman" w:cs="Times New Roman"/>
          <w:color w:val="464C55"/>
          <w:sz w:val="24"/>
          <w:szCs w:val="24"/>
          <w:lang w:eastAsia="ru-RU"/>
        </w:rPr>
        <w:t>ловиям государственного (муниципального) контракта, договора (соглашения), контракта (договора);</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соответствия текстового назначения платежа, указанного в распоряжении о совершении казначейских платежей, направлению расходования целевых средств, указанному в сведениях, указанных в подпункте "а" настоящего пункта;</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соблюдения запретов на перечисление целевых средств с лицевого счета, преду</w:t>
      </w:r>
      <w:r>
        <w:rPr>
          <w:rFonts w:ascii="Times New Roman" w:eastAsia="Times New Roman" w:hAnsi="Times New Roman" w:cs="Times New Roman"/>
          <w:color w:val="464C55"/>
          <w:sz w:val="24"/>
          <w:szCs w:val="24"/>
          <w:lang w:eastAsia="ru-RU"/>
        </w:rPr>
        <w:t>смотренных пунктом 3 статьи 242</w:t>
      </w:r>
      <w:r w:rsidRPr="007261F9">
        <w:rPr>
          <w:rFonts w:ascii="Times New Roman" w:eastAsia="Times New Roman" w:hAnsi="Times New Roman" w:cs="Times New Roman"/>
          <w:color w:val="464C55"/>
          <w:sz w:val="24"/>
          <w:szCs w:val="24"/>
          <w:vertAlign w:val="superscript"/>
          <w:lang w:eastAsia="ru-RU"/>
        </w:rPr>
        <w:t>23</w:t>
      </w:r>
      <w:r w:rsidRPr="007261F9">
        <w:rPr>
          <w:rFonts w:ascii="Times New Roman" w:eastAsia="Times New Roman" w:hAnsi="Times New Roman" w:cs="Times New Roman"/>
          <w:color w:val="464C55"/>
          <w:sz w:val="24"/>
          <w:szCs w:val="24"/>
          <w:lang w:eastAsia="ru-RU"/>
        </w:rPr>
        <w:t xml:space="preserve"> Бюджетного кодекса Российской Федерации;</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г) об основаниях и порядке возврата финансовым органом субъекта Российской Федерации (муниципального образования) распоряжений о совершении казначейских платежей;</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д) о запрете на осуществление операций на лицевом счете, отказе в осуществлении операций на лицевом счете при наличии оснований, указанн</w:t>
      </w:r>
      <w:r>
        <w:rPr>
          <w:rFonts w:ascii="Times New Roman" w:eastAsia="Times New Roman" w:hAnsi="Times New Roman" w:cs="Times New Roman"/>
          <w:color w:val="464C55"/>
          <w:sz w:val="24"/>
          <w:szCs w:val="24"/>
          <w:lang w:eastAsia="ru-RU"/>
        </w:rPr>
        <w:t>ых в пунктах 10 и 11 статьи 242</w:t>
      </w:r>
      <w:r w:rsidRPr="007261F9">
        <w:rPr>
          <w:rFonts w:ascii="Times New Roman" w:eastAsia="Times New Roman" w:hAnsi="Times New Roman" w:cs="Times New Roman"/>
          <w:color w:val="464C55"/>
          <w:sz w:val="24"/>
          <w:szCs w:val="24"/>
          <w:vertAlign w:val="superscript"/>
          <w:lang w:eastAsia="ru-RU"/>
        </w:rPr>
        <w:t>13-1</w:t>
      </w:r>
      <w:r w:rsidRPr="007261F9">
        <w:rPr>
          <w:rFonts w:ascii="Times New Roman" w:eastAsia="Times New Roman" w:hAnsi="Times New Roman" w:cs="Times New Roman"/>
          <w:color w:val="464C55"/>
          <w:sz w:val="24"/>
          <w:szCs w:val="24"/>
          <w:lang w:eastAsia="ru-RU"/>
        </w:rPr>
        <w:t xml:space="preserve"> Бюджетного кодекса Российской Федерации соответственно, а также о приостановлении операций на лицевом счете в соот</w:t>
      </w:r>
      <w:r>
        <w:rPr>
          <w:rFonts w:ascii="Times New Roman" w:eastAsia="Times New Roman" w:hAnsi="Times New Roman" w:cs="Times New Roman"/>
          <w:color w:val="464C55"/>
          <w:sz w:val="24"/>
          <w:szCs w:val="24"/>
          <w:lang w:eastAsia="ru-RU"/>
        </w:rPr>
        <w:t>ветствии с пунктом 3 статьи 242</w:t>
      </w:r>
      <w:r w:rsidRPr="007261F9">
        <w:rPr>
          <w:rFonts w:ascii="Times New Roman" w:eastAsia="Times New Roman" w:hAnsi="Times New Roman" w:cs="Times New Roman"/>
          <w:color w:val="464C55"/>
          <w:sz w:val="24"/>
          <w:szCs w:val="24"/>
          <w:vertAlign w:val="superscript"/>
          <w:lang w:eastAsia="ru-RU"/>
        </w:rPr>
        <w:t xml:space="preserve">13-1 </w:t>
      </w:r>
      <w:r w:rsidRPr="007261F9">
        <w:rPr>
          <w:rFonts w:ascii="Times New Roman" w:eastAsia="Times New Roman" w:hAnsi="Times New Roman" w:cs="Times New Roman"/>
          <w:color w:val="464C55"/>
          <w:sz w:val="24"/>
          <w:szCs w:val="24"/>
          <w:lang w:eastAsia="ru-RU"/>
        </w:rPr>
        <w:t>Бюджетного кодекса Российской Федерации в порядке, преду</w:t>
      </w:r>
      <w:r>
        <w:rPr>
          <w:rFonts w:ascii="Times New Roman" w:eastAsia="Times New Roman" w:hAnsi="Times New Roman" w:cs="Times New Roman"/>
          <w:color w:val="464C55"/>
          <w:sz w:val="24"/>
          <w:szCs w:val="24"/>
          <w:lang w:eastAsia="ru-RU"/>
        </w:rPr>
        <w:t>смотренном пунктом 1 статьи 242</w:t>
      </w:r>
      <w:r w:rsidRPr="007261F9">
        <w:rPr>
          <w:rFonts w:ascii="Times New Roman" w:eastAsia="Times New Roman" w:hAnsi="Times New Roman" w:cs="Times New Roman"/>
          <w:color w:val="464C55"/>
          <w:sz w:val="24"/>
          <w:szCs w:val="24"/>
          <w:vertAlign w:val="superscript"/>
          <w:lang w:eastAsia="ru-RU"/>
        </w:rPr>
        <w:t xml:space="preserve">13-1 </w:t>
      </w:r>
      <w:r w:rsidRPr="007261F9">
        <w:rPr>
          <w:rFonts w:ascii="Times New Roman" w:eastAsia="Times New Roman" w:hAnsi="Times New Roman" w:cs="Times New Roman"/>
          <w:color w:val="464C55"/>
          <w:sz w:val="24"/>
          <w:szCs w:val="24"/>
          <w:lang w:eastAsia="ru-RU"/>
        </w:rPr>
        <w:t>Бюджетного кодекса Российской Федерации;</w:t>
      </w:r>
    </w:p>
    <w:p w:rsidR="007261F9" w:rsidRPr="007261F9" w:rsidRDefault="007261F9" w:rsidP="007261F9">
      <w:pPr>
        <w:shd w:val="clear" w:color="auto" w:fill="FFFFFF"/>
        <w:spacing w:after="0" w:line="240" w:lineRule="auto"/>
        <w:rPr>
          <w:rFonts w:ascii="Times New Roman" w:eastAsia="Times New Roman" w:hAnsi="Times New Roman" w:cs="Times New Roman"/>
          <w:color w:val="464C55"/>
          <w:sz w:val="24"/>
          <w:szCs w:val="24"/>
          <w:lang w:eastAsia="ru-RU"/>
        </w:rPr>
      </w:pPr>
      <w:r w:rsidRPr="007261F9">
        <w:rPr>
          <w:rFonts w:ascii="Times New Roman" w:eastAsia="Times New Roman" w:hAnsi="Times New Roman" w:cs="Times New Roman"/>
          <w:color w:val="464C55"/>
          <w:sz w:val="24"/>
          <w:szCs w:val="24"/>
          <w:lang w:eastAsia="ru-RU"/>
        </w:rPr>
        <w:t>е) о проведении иных проверок финансовым органом субъекта Российской Федерации (муниципального образования) в отношении целевых средств, подлежащих расширенному казначейскому сопровождению, в случаях, установленных Правительством Российской Федерации в соот</w:t>
      </w:r>
      <w:r>
        <w:rPr>
          <w:rFonts w:ascii="Times New Roman" w:eastAsia="Times New Roman" w:hAnsi="Times New Roman" w:cs="Times New Roman"/>
          <w:color w:val="464C55"/>
          <w:sz w:val="24"/>
          <w:szCs w:val="24"/>
          <w:lang w:eastAsia="ru-RU"/>
        </w:rPr>
        <w:t>ветствии с пунктом 3 статьи 242</w:t>
      </w:r>
      <w:r w:rsidRPr="007261F9">
        <w:rPr>
          <w:rFonts w:ascii="Times New Roman" w:eastAsia="Times New Roman" w:hAnsi="Times New Roman" w:cs="Times New Roman"/>
          <w:color w:val="464C55"/>
          <w:sz w:val="24"/>
          <w:szCs w:val="24"/>
          <w:vertAlign w:val="superscript"/>
          <w:lang w:eastAsia="ru-RU"/>
        </w:rPr>
        <w:t>24</w:t>
      </w:r>
      <w:r>
        <w:rPr>
          <w:rFonts w:ascii="Times New Roman" w:eastAsia="Times New Roman" w:hAnsi="Times New Roman" w:cs="Times New Roman"/>
          <w:color w:val="464C55"/>
          <w:sz w:val="24"/>
          <w:szCs w:val="24"/>
          <w:lang w:eastAsia="ru-RU"/>
        </w:rPr>
        <w:t xml:space="preserve"> </w:t>
      </w:r>
      <w:r w:rsidRPr="007261F9">
        <w:rPr>
          <w:rFonts w:ascii="Times New Roman" w:eastAsia="Times New Roman" w:hAnsi="Times New Roman" w:cs="Times New Roman"/>
          <w:color w:val="464C55"/>
          <w:sz w:val="24"/>
          <w:szCs w:val="24"/>
          <w:lang w:eastAsia="ru-RU"/>
        </w:rPr>
        <w:t>Бюджетного кодекса Российской Федерации.</w:t>
      </w:r>
    </w:p>
    <w:p w:rsidR="00F16A27" w:rsidRDefault="00F16A27"/>
    <w:sectPr w:rsidR="00F16A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F9"/>
    <w:rsid w:val="007261F9"/>
    <w:rsid w:val="00F16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7A021-C4F0-4B1D-AA70-F59713DA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261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61F9"/>
    <w:rPr>
      <w:rFonts w:ascii="Times New Roman" w:eastAsia="Times New Roman" w:hAnsi="Times New Roman" w:cs="Times New Roman"/>
      <w:b/>
      <w:bCs/>
      <w:kern w:val="36"/>
      <w:sz w:val="48"/>
      <w:szCs w:val="48"/>
      <w:lang w:eastAsia="ru-RU"/>
    </w:rPr>
  </w:style>
  <w:style w:type="paragraph" w:customStyle="1" w:styleId="s1">
    <w:name w:val="s_1"/>
    <w:basedOn w:val="a"/>
    <w:rsid w:val="007261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26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61F9"/>
    <w:rPr>
      <w:color w:val="0000FF"/>
      <w:u w:val="single"/>
    </w:rPr>
  </w:style>
  <w:style w:type="paragraph" w:customStyle="1" w:styleId="s16">
    <w:name w:val="s_16"/>
    <w:basedOn w:val="a"/>
    <w:rsid w:val="007261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261F9"/>
  </w:style>
  <w:style w:type="paragraph" w:customStyle="1" w:styleId="s3">
    <w:name w:val="s_3"/>
    <w:basedOn w:val="a"/>
    <w:rsid w:val="007261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4205">
      <w:bodyDiv w:val="1"/>
      <w:marLeft w:val="0"/>
      <w:marRight w:val="0"/>
      <w:marTop w:val="0"/>
      <w:marBottom w:val="0"/>
      <w:divBdr>
        <w:top w:val="none" w:sz="0" w:space="0" w:color="auto"/>
        <w:left w:val="none" w:sz="0" w:space="0" w:color="auto"/>
        <w:bottom w:val="none" w:sz="0" w:space="0" w:color="auto"/>
        <w:right w:val="none" w:sz="0" w:space="0" w:color="auto"/>
      </w:divBdr>
      <w:divsChild>
        <w:div w:id="81799084">
          <w:marLeft w:val="0"/>
          <w:marRight w:val="0"/>
          <w:marTop w:val="0"/>
          <w:marBottom w:val="0"/>
          <w:divBdr>
            <w:top w:val="none" w:sz="0" w:space="0" w:color="auto"/>
            <w:left w:val="none" w:sz="0" w:space="0" w:color="auto"/>
            <w:bottom w:val="none" w:sz="0" w:space="0" w:color="auto"/>
            <w:right w:val="none" w:sz="0" w:space="0" w:color="auto"/>
          </w:divBdr>
          <w:divsChild>
            <w:div w:id="1543204992">
              <w:marLeft w:val="0"/>
              <w:marRight w:val="0"/>
              <w:marTop w:val="0"/>
              <w:marBottom w:val="0"/>
              <w:divBdr>
                <w:top w:val="none" w:sz="0" w:space="0" w:color="auto"/>
                <w:left w:val="none" w:sz="0" w:space="0" w:color="auto"/>
                <w:bottom w:val="none" w:sz="0" w:space="0" w:color="auto"/>
                <w:right w:val="none" w:sz="0" w:space="0" w:color="auto"/>
              </w:divBdr>
              <w:divsChild>
                <w:div w:id="502815953">
                  <w:marLeft w:val="0"/>
                  <w:marRight w:val="0"/>
                  <w:marTop w:val="0"/>
                  <w:marBottom w:val="0"/>
                  <w:divBdr>
                    <w:top w:val="none" w:sz="0" w:space="0" w:color="auto"/>
                    <w:left w:val="none" w:sz="0" w:space="0" w:color="auto"/>
                    <w:bottom w:val="none" w:sz="0" w:space="0" w:color="auto"/>
                    <w:right w:val="none" w:sz="0" w:space="0" w:color="auto"/>
                  </w:divBdr>
                </w:div>
                <w:div w:id="1350640295">
                  <w:marLeft w:val="0"/>
                  <w:marRight w:val="0"/>
                  <w:marTop w:val="0"/>
                  <w:marBottom w:val="0"/>
                  <w:divBdr>
                    <w:top w:val="none" w:sz="0" w:space="0" w:color="auto"/>
                    <w:left w:val="none" w:sz="0" w:space="0" w:color="auto"/>
                    <w:bottom w:val="none" w:sz="0" w:space="0" w:color="auto"/>
                    <w:right w:val="none" w:sz="0" w:space="0" w:color="auto"/>
                  </w:divBdr>
                </w:div>
                <w:div w:id="1141730230">
                  <w:marLeft w:val="0"/>
                  <w:marRight w:val="0"/>
                  <w:marTop w:val="0"/>
                  <w:marBottom w:val="0"/>
                  <w:divBdr>
                    <w:top w:val="none" w:sz="0" w:space="0" w:color="auto"/>
                    <w:left w:val="none" w:sz="0" w:space="0" w:color="auto"/>
                    <w:bottom w:val="none" w:sz="0" w:space="0" w:color="auto"/>
                    <w:right w:val="none" w:sz="0" w:space="0" w:color="auto"/>
                  </w:divBdr>
                  <w:divsChild>
                    <w:div w:id="29647115">
                      <w:marLeft w:val="0"/>
                      <w:marRight w:val="0"/>
                      <w:marTop w:val="0"/>
                      <w:marBottom w:val="0"/>
                      <w:divBdr>
                        <w:top w:val="none" w:sz="0" w:space="0" w:color="auto"/>
                        <w:left w:val="none" w:sz="0" w:space="0" w:color="auto"/>
                        <w:bottom w:val="none" w:sz="0" w:space="0" w:color="auto"/>
                        <w:right w:val="none" w:sz="0" w:space="0" w:color="auto"/>
                      </w:divBdr>
                    </w:div>
                    <w:div w:id="914315169">
                      <w:marLeft w:val="0"/>
                      <w:marRight w:val="0"/>
                      <w:marTop w:val="0"/>
                      <w:marBottom w:val="0"/>
                      <w:divBdr>
                        <w:top w:val="none" w:sz="0" w:space="0" w:color="auto"/>
                        <w:left w:val="none" w:sz="0" w:space="0" w:color="auto"/>
                        <w:bottom w:val="none" w:sz="0" w:space="0" w:color="auto"/>
                        <w:right w:val="none" w:sz="0" w:space="0" w:color="auto"/>
                      </w:divBdr>
                      <w:divsChild>
                        <w:div w:id="35786093">
                          <w:marLeft w:val="0"/>
                          <w:marRight w:val="0"/>
                          <w:marTop w:val="0"/>
                          <w:marBottom w:val="0"/>
                          <w:divBdr>
                            <w:top w:val="none" w:sz="0" w:space="0" w:color="auto"/>
                            <w:left w:val="none" w:sz="0" w:space="0" w:color="auto"/>
                            <w:bottom w:val="none" w:sz="0" w:space="0" w:color="auto"/>
                            <w:right w:val="none" w:sz="0" w:space="0" w:color="auto"/>
                          </w:divBdr>
                        </w:div>
                        <w:div w:id="213466343">
                          <w:marLeft w:val="0"/>
                          <w:marRight w:val="0"/>
                          <w:marTop w:val="0"/>
                          <w:marBottom w:val="0"/>
                          <w:divBdr>
                            <w:top w:val="none" w:sz="0" w:space="0" w:color="auto"/>
                            <w:left w:val="none" w:sz="0" w:space="0" w:color="auto"/>
                            <w:bottom w:val="none" w:sz="0" w:space="0" w:color="auto"/>
                            <w:right w:val="none" w:sz="0" w:space="0" w:color="auto"/>
                          </w:divBdr>
                        </w:div>
                        <w:div w:id="327365487">
                          <w:marLeft w:val="0"/>
                          <w:marRight w:val="0"/>
                          <w:marTop w:val="0"/>
                          <w:marBottom w:val="0"/>
                          <w:divBdr>
                            <w:top w:val="none" w:sz="0" w:space="0" w:color="auto"/>
                            <w:left w:val="none" w:sz="0" w:space="0" w:color="auto"/>
                            <w:bottom w:val="none" w:sz="0" w:space="0" w:color="auto"/>
                            <w:right w:val="none" w:sz="0" w:space="0" w:color="auto"/>
                          </w:divBdr>
                        </w:div>
                        <w:div w:id="1241527082">
                          <w:marLeft w:val="0"/>
                          <w:marRight w:val="0"/>
                          <w:marTop w:val="0"/>
                          <w:marBottom w:val="0"/>
                          <w:divBdr>
                            <w:top w:val="none" w:sz="0" w:space="0" w:color="auto"/>
                            <w:left w:val="none" w:sz="0" w:space="0" w:color="auto"/>
                            <w:bottom w:val="none" w:sz="0" w:space="0" w:color="auto"/>
                            <w:right w:val="none" w:sz="0" w:space="0" w:color="auto"/>
                          </w:divBdr>
                        </w:div>
                        <w:div w:id="1589342073">
                          <w:marLeft w:val="0"/>
                          <w:marRight w:val="0"/>
                          <w:marTop w:val="0"/>
                          <w:marBottom w:val="0"/>
                          <w:divBdr>
                            <w:top w:val="none" w:sz="0" w:space="0" w:color="auto"/>
                            <w:left w:val="none" w:sz="0" w:space="0" w:color="auto"/>
                            <w:bottom w:val="none" w:sz="0" w:space="0" w:color="auto"/>
                            <w:right w:val="none" w:sz="0" w:space="0" w:color="auto"/>
                          </w:divBdr>
                        </w:div>
                        <w:div w:id="803159796">
                          <w:marLeft w:val="0"/>
                          <w:marRight w:val="0"/>
                          <w:marTop w:val="0"/>
                          <w:marBottom w:val="0"/>
                          <w:divBdr>
                            <w:top w:val="none" w:sz="0" w:space="0" w:color="auto"/>
                            <w:left w:val="none" w:sz="0" w:space="0" w:color="auto"/>
                            <w:bottom w:val="none" w:sz="0" w:space="0" w:color="auto"/>
                            <w:right w:val="none" w:sz="0" w:space="0" w:color="auto"/>
                          </w:divBdr>
                        </w:div>
                        <w:div w:id="1052004122">
                          <w:marLeft w:val="0"/>
                          <w:marRight w:val="0"/>
                          <w:marTop w:val="0"/>
                          <w:marBottom w:val="0"/>
                          <w:divBdr>
                            <w:top w:val="none" w:sz="0" w:space="0" w:color="auto"/>
                            <w:left w:val="none" w:sz="0" w:space="0" w:color="auto"/>
                            <w:bottom w:val="none" w:sz="0" w:space="0" w:color="auto"/>
                            <w:right w:val="none" w:sz="0" w:space="0" w:color="auto"/>
                          </w:divBdr>
                        </w:div>
                      </w:divsChild>
                    </w:div>
                    <w:div w:id="1396391097">
                      <w:marLeft w:val="0"/>
                      <w:marRight w:val="0"/>
                      <w:marTop w:val="0"/>
                      <w:marBottom w:val="0"/>
                      <w:divBdr>
                        <w:top w:val="none" w:sz="0" w:space="0" w:color="auto"/>
                        <w:left w:val="none" w:sz="0" w:space="0" w:color="auto"/>
                        <w:bottom w:val="none" w:sz="0" w:space="0" w:color="auto"/>
                        <w:right w:val="none" w:sz="0" w:space="0" w:color="auto"/>
                      </w:divBdr>
                    </w:div>
                    <w:div w:id="105391869">
                      <w:marLeft w:val="0"/>
                      <w:marRight w:val="0"/>
                      <w:marTop w:val="0"/>
                      <w:marBottom w:val="0"/>
                      <w:divBdr>
                        <w:top w:val="none" w:sz="0" w:space="0" w:color="auto"/>
                        <w:left w:val="none" w:sz="0" w:space="0" w:color="auto"/>
                        <w:bottom w:val="none" w:sz="0" w:space="0" w:color="auto"/>
                        <w:right w:val="none" w:sz="0" w:space="0" w:color="auto"/>
                      </w:divBdr>
                      <w:divsChild>
                        <w:div w:id="264775999">
                          <w:marLeft w:val="0"/>
                          <w:marRight w:val="0"/>
                          <w:marTop w:val="0"/>
                          <w:marBottom w:val="0"/>
                          <w:divBdr>
                            <w:top w:val="none" w:sz="0" w:space="0" w:color="auto"/>
                            <w:left w:val="none" w:sz="0" w:space="0" w:color="auto"/>
                            <w:bottom w:val="none" w:sz="0" w:space="0" w:color="auto"/>
                            <w:right w:val="none" w:sz="0" w:space="0" w:color="auto"/>
                          </w:divBdr>
                        </w:div>
                        <w:div w:id="1690181170">
                          <w:marLeft w:val="0"/>
                          <w:marRight w:val="0"/>
                          <w:marTop w:val="0"/>
                          <w:marBottom w:val="0"/>
                          <w:divBdr>
                            <w:top w:val="none" w:sz="0" w:space="0" w:color="auto"/>
                            <w:left w:val="none" w:sz="0" w:space="0" w:color="auto"/>
                            <w:bottom w:val="none" w:sz="0" w:space="0" w:color="auto"/>
                            <w:right w:val="none" w:sz="0" w:space="0" w:color="auto"/>
                          </w:divBdr>
                        </w:div>
                        <w:div w:id="2044359281">
                          <w:marLeft w:val="0"/>
                          <w:marRight w:val="0"/>
                          <w:marTop w:val="0"/>
                          <w:marBottom w:val="0"/>
                          <w:divBdr>
                            <w:top w:val="none" w:sz="0" w:space="0" w:color="auto"/>
                            <w:left w:val="none" w:sz="0" w:space="0" w:color="auto"/>
                            <w:bottom w:val="none" w:sz="0" w:space="0" w:color="auto"/>
                            <w:right w:val="none" w:sz="0" w:space="0" w:color="auto"/>
                          </w:divBdr>
                        </w:div>
                        <w:div w:id="312686020">
                          <w:marLeft w:val="0"/>
                          <w:marRight w:val="0"/>
                          <w:marTop w:val="0"/>
                          <w:marBottom w:val="0"/>
                          <w:divBdr>
                            <w:top w:val="none" w:sz="0" w:space="0" w:color="auto"/>
                            <w:left w:val="none" w:sz="0" w:space="0" w:color="auto"/>
                            <w:bottom w:val="none" w:sz="0" w:space="0" w:color="auto"/>
                            <w:right w:val="none" w:sz="0" w:space="0" w:color="auto"/>
                          </w:divBdr>
                        </w:div>
                        <w:div w:id="1258291884">
                          <w:marLeft w:val="0"/>
                          <w:marRight w:val="0"/>
                          <w:marTop w:val="0"/>
                          <w:marBottom w:val="0"/>
                          <w:divBdr>
                            <w:top w:val="none" w:sz="0" w:space="0" w:color="auto"/>
                            <w:left w:val="none" w:sz="0" w:space="0" w:color="auto"/>
                            <w:bottom w:val="none" w:sz="0" w:space="0" w:color="auto"/>
                            <w:right w:val="none" w:sz="0" w:space="0" w:color="auto"/>
                          </w:divBdr>
                        </w:div>
                        <w:div w:id="41251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1752</Words>
  <Characters>9989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2022-01-17T05:47:00Z</dcterms:created>
  <dcterms:modified xsi:type="dcterms:W3CDTF">2022-01-17T05:56:00Z</dcterms:modified>
</cp:coreProperties>
</file>