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C5" w:rsidRDefault="00847CC5" w:rsidP="00847CC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ПРАВИТЕЛЬСТВО РОССИЙСКОЙ ФЕДЕРАЦИИ</w:t>
      </w:r>
    </w:p>
    <w:p w:rsidR="00847CC5" w:rsidRDefault="00847CC5" w:rsidP="00847CC5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ПОСТАНОВЛЕНИЕ</w:t>
      </w:r>
    </w:p>
    <w:p w:rsidR="00847CC5" w:rsidRDefault="00847CC5" w:rsidP="00847CC5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от 21 апреля 2022 г. </w:t>
      </w:r>
      <w:r w:rsidR="00B65CA0">
        <w:rPr>
          <w:rFonts w:ascii="Arial" w:hAnsi="Arial" w:cs="Arial"/>
          <w:b/>
          <w:bCs/>
          <w:color w:val="000000"/>
          <w:kern w:val="36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733</w:t>
      </w:r>
    </w:p>
    <w:p w:rsidR="00847CC5" w:rsidRPr="00B65CA0" w:rsidRDefault="00847CC5" w:rsidP="00B65CA0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 ВНЕСЕНИИ ИЗМЕНЕНИЙ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В ПЕРЕЧЕНЬ МЕДИЦИНСКИХ ИЗДЕЛИЙ ОДНОРАЗОВОГО ПРИМЕНЕНИЯ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(ИСПОЛЬЗОВАНИЯ) ИЗ ПОЛИВИНИЛХЛОРИДНЫХ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ПЛАСТИКОВ И ИНЫХ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ПЛАСТИКОВ, ПОЛИМЕРОВ И МАТЕРИАЛОВ, ПРОИСХОДЯ</w:t>
      </w:r>
      <w:bookmarkStart w:id="0" w:name="_GoBack"/>
      <w:bookmarkEnd w:id="0"/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ЩИХ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ИЗ ИНОСТРАННЫХ ГОСУДАРСТВ, В ОТНОШЕНИИ КОТОРЫХ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УСТАНАВЛИВАЮТСЯ ОГРАНИЧЕНИЯ ДОПУСКА ДЛЯ ЦЕЛЕЙ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ОСУЩЕСТВЛЕНИЯ ЗАКУПОК ДЛЯ ОБЕСПЕЧЕНИЯ</w:t>
      </w:r>
      <w:r w:rsidR="00B65CA0"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r w:rsidRPr="00B65CA0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ГОСУДАРСТВЕННЫХ И МУНИЦИПАЛЬНЫХ НУЖД</w:t>
      </w:r>
    </w:p>
    <w:p w:rsidR="00B65CA0" w:rsidRDefault="00B65CA0" w:rsidP="00B65CA0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847CC5" w:rsidRDefault="00847CC5" w:rsidP="007B5B50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847CC5" w:rsidRDefault="00847CC5" w:rsidP="007B5B50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</w:t>
      </w:r>
      <w:proofErr w:type="gramStart"/>
      <w:r>
        <w:rPr>
          <w:color w:val="000000"/>
          <w:sz w:val="30"/>
          <w:szCs w:val="30"/>
        </w:rPr>
        <w:t>Утвердить прилагаемые </w:t>
      </w:r>
      <w:r w:rsidRPr="00B65CA0">
        <w:rPr>
          <w:color w:val="000000"/>
          <w:sz w:val="30"/>
          <w:szCs w:val="30"/>
        </w:rPr>
        <w:t>изменения</w:t>
      </w:r>
      <w:r>
        <w:rPr>
          <w:color w:val="000000"/>
          <w:sz w:val="30"/>
          <w:szCs w:val="30"/>
        </w:rPr>
        <w:t>, которые вносятся в </w:t>
      </w:r>
      <w:r w:rsidRPr="00B65CA0">
        <w:rPr>
          <w:color w:val="000000"/>
          <w:sz w:val="30"/>
          <w:szCs w:val="30"/>
        </w:rPr>
        <w:t>перечень</w:t>
      </w:r>
      <w:r>
        <w:rPr>
          <w:color w:val="000000"/>
          <w:sz w:val="30"/>
          <w:szCs w:val="30"/>
        </w:rPr>
        <w:t xml:space="preserve"> 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</w:t>
      </w:r>
      <w:r w:rsidR="00B65CA0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102 "Об ограничениях и условиях допуска отдельных видов медицинских</w:t>
      </w:r>
      <w:proofErr w:type="gramEnd"/>
      <w:r>
        <w:rPr>
          <w:color w:val="000000"/>
          <w:sz w:val="30"/>
          <w:szCs w:val="30"/>
        </w:rPr>
        <w:t xml:space="preserve">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 w:rsidR="00B65CA0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6, ст. 979; 2016, </w:t>
      </w:r>
      <w:r w:rsidR="00B65CA0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18, ст. 2630; 2017, </w:t>
      </w:r>
      <w:r w:rsidR="00B65CA0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34, ст. 5291; 2021, </w:t>
      </w:r>
      <w:r w:rsidR="00B65CA0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1, ст. 103; </w:t>
      </w:r>
      <w:r w:rsidR="00B65CA0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5, ст. 857).</w:t>
      </w:r>
    </w:p>
    <w:p w:rsidR="00847CC5" w:rsidRDefault="00847CC5" w:rsidP="007B5B50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Установить, что положения настоящего постановления применяются к отношениям, связанным с осуществлением закупок для обеспечения государственных и муниципальных нужд, </w:t>
      </w:r>
      <w:proofErr w:type="gramStart"/>
      <w:r>
        <w:rPr>
          <w:color w:val="000000"/>
          <w:sz w:val="30"/>
          <w:szCs w:val="30"/>
        </w:rPr>
        <w:t>извещения</w:t>
      </w:r>
      <w:proofErr w:type="gramEnd"/>
      <w:r>
        <w:rPr>
          <w:color w:val="000000"/>
          <w:sz w:val="30"/>
          <w:szCs w:val="30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B65CA0" w:rsidRDefault="00B65CA0" w:rsidP="007B5B50">
      <w:pPr>
        <w:pStyle w:val="alignright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B65CA0" w:rsidRDefault="00B65CA0" w:rsidP="007B5B50">
      <w:pPr>
        <w:pStyle w:val="alignright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B65CA0" w:rsidRDefault="00B65CA0" w:rsidP="00847CC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</w:p>
    <w:p w:rsidR="00847CC5" w:rsidRDefault="00847CC5" w:rsidP="00847CC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Председатель Правительства</w:t>
      </w:r>
    </w:p>
    <w:p w:rsidR="00847CC5" w:rsidRDefault="00847CC5" w:rsidP="00847CC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847CC5" w:rsidRDefault="00847CC5" w:rsidP="00847CC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847CC5" w:rsidRPr="00847CC5" w:rsidRDefault="00847CC5" w:rsidP="00847CC5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Утверждены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постановлением Правительства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21 апреля 2022 г. </w:t>
      </w:r>
      <w:r w:rsidR="00B65C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733</w:t>
      </w:r>
    </w:p>
    <w:p w:rsidR="00B65CA0" w:rsidRPr="00847CC5" w:rsidRDefault="00B65CA0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47CC5" w:rsidRPr="00B65CA0" w:rsidRDefault="00847CC5" w:rsidP="00B65CA0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ИЗМЕНЕНИЯ,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КОТОРЫЕ ВНОСЯТСЯ В ПЕРЕЧЕНЬ МЕДИЦИНСКИХ ИЗДЕЛИЙ ОДНОРАЗОВОГО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ПРИМЕНЕНИЯ (ИСПОЛЬЗОВАНИЯ) ИЗ ПОЛИВИНИЛХЛОРИДНЫХ ПЛАСТИКОВ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И ИНЫХ ПЛАСТИКОВ, ПОЛИМЕРОВ И МАТЕРИАЛОВ, ПРОИСХОДЯЩИХ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ИЗ ИНОСТРАННЫХ ГОСУДАРСТВ, В ОТНОШЕНИИ КОТОРЫХ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УСТАНАВЛИВАЮТСЯ ОГРАНИЧЕНИЯ ДОПУСКА ДЛЯ ЦЕЛЕЙ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ОСУЩЕСТВЛЕНИЯ ЗАКУПОК ДЛЯ ОБЕСПЕЧЕНИЯ</w:t>
      </w:r>
      <w:r w:rsidR="00B65CA0"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65CA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ГОСУДАРСТВЕННЫХ И МУНИЦИПАЛЬНЫХ НУЖД</w:t>
      </w:r>
    </w:p>
    <w:p w:rsidR="00B65CA0" w:rsidRPr="00847CC5" w:rsidRDefault="00B65CA0" w:rsidP="00B65CA0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847CC5" w:rsidRPr="00847CC5" w:rsidRDefault="00847CC5" w:rsidP="00847CC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65C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Перечень медицинских 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изложить в следующей редакции: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"Утвержден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постановлением Правительства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5 февраля 2015 г. </w:t>
      </w:r>
      <w:r w:rsidR="00B65C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102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(в редакции постановления</w:t>
      </w:r>
      <w:proofErr w:type="gramEnd"/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Правительства Российской Федерации</w:t>
      </w:r>
    </w:p>
    <w:p w:rsidR="00847CC5" w:rsidRPr="00847CC5" w:rsidRDefault="00847CC5" w:rsidP="00847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21 апреля 2022 г. </w:t>
      </w:r>
      <w:r w:rsidR="00B65C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733)</w:t>
      </w:r>
    </w:p>
    <w:p w:rsidR="00B65CA0" w:rsidRDefault="00B65CA0" w:rsidP="00847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47CC5" w:rsidRPr="00B65CA0" w:rsidRDefault="00847CC5" w:rsidP="00B65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B65CA0"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 ИЗДЕЛИЙ ОДНОРАЗОВОГО ПРИМЕНЕНИЯ (ИСПОЛЬЗОВАНИЯ)</w:t>
      </w:r>
      <w:r w:rsidR="00B65CA0"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ПОЛИВИНИЛХЛОРИДНЫХ ПЛАСТИКОВ И ИНЫХ ПЛАСТИКОВ, ПОЛИМЕРОВ</w:t>
      </w:r>
      <w:r w:rsidR="00B65CA0"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МАТЕРИАЛОВ, ПРОИСХОДЯЩИХ ИЗ ИНОСТРАННЫХ ГОСУДАРСТВ,</w:t>
      </w:r>
      <w:r w:rsidR="00B65CA0"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КОТОРЫХ УСТАНАВЛИВАЮТСЯ ОГРАНИЧЕНИЯ ДОПУСКА</w:t>
      </w:r>
      <w:r w:rsidR="00B65CA0"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ОСУЩЕСТВЛЕНИЯ ЗАКУПОК ДЛЯ ОБЕСПЕЧЕНИЯ</w:t>
      </w:r>
      <w:r w:rsidR="00B65CA0"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НУЖД</w:t>
      </w:r>
    </w:p>
    <w:tbl>
      <w:tblPr>
        <w:tblW w:w="92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377"/>
        <w:gridCol w:w="1985"/>
        <w:gridCol w:w="1984"/>
        <w:gridCol w:w="2268"/>
      </w:tblGrid>
      <w:tr w:rsidR="00847CC5" w:rsidRPr="00847CC5" w:rsidTr="00062535">
        <w:tc>
          <w:tcPr>
            <w:tcW w:w="3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медицинского изделия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Код в соответствии с Общероссийским классификатором продукции по видам экономической деятельности (ОКПД 2) </w:t>
            </w:r>
            <w:proofErr w:type="gramStart"/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proofErr w:type="gramEnd"/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034-2014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медицинского изделия &lt;*&gt;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Классификационные признаки медицинского изделия</w:t>
            </w:r>
          </w:p>
        </w:tc>
      </w:tr>
      <w:tr w:rsidR="00847CC5" w:rsidRPr="00847CC5" w:rsidTr="00847CC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Раздел 1. Устройства для переливания крови, компонентов крови, кровезаменителей и </w:t>
            </w:r>
            <w:proofErr w:type="spellStart"/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растворов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для переливания кровезаменителей 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растворов (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32.50.13.110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B65CA0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(устройства, системы, комплект и т.п.) для переливания кровезаменителей 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растворов, для безопасного переливания пациенту кровезаменителей 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растворов из полимерных и стеклянных емкостей (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В набор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входят магистрали (трубки), коннектор, одна полимерная или металлическая игла, капельно-фильтрующий узел, инъекционный узел, роликовый или барабанный регулятор скорости потока, инъекционная игла, а также при необходимости Y-порт, колпачок-заглушка и иные медицинские изделия и (или) комплектующие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регистрационному удостоверению. В наборы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входит теплообменное устройство. Это изделия для одноразового использования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(ПК)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32.50.13.110</w:t>
            </w:r>
          </w:p>
          <w:p w:rsidR="00847CC5" w:rsidRPr="00062535" w:rsidRDefault="00062535" w:rsidP="00062535">
            <w:pPr>
              <w:tabs>
                <w:tab w:val="left" w:pos="255"/>
                <w:tab w:val="center" w:pos="932"/>
              </w:tabs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847CC5"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(устройства, системы, комплект и т.п.) для переливания крови, компонентов крови и кровезаменителей для безопасного переливания пациенту крови и ее компонентов, кровезаменителей из полимерных и стеклянных емкостей (ПК). В набор ПК входят магистрали (трубки), коннектор, полимерная или металлическая игла, капельно-фильтрующий узел, инъекционный узел, регулятор скорости потока, инъекционная игла, а также при необходимости колпачок-заглушка и иные медицинские изделия и (или) комплектующие согласно регистрационному удостоверению (например, Y-порт и т.п.). В наборы ПК не входит теплообменное устройство. Это изделия для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одноразового использования</w:t>
            </w:r>
          </w:p>
        </w:tc>
      </w:tr>
      <w:tr w:rsidR="00847CC5" w:rsidRPr="00847CC5" w:rsidTr="00847CC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Контейнеры для заготовки, хранения и транспортировки донорской крови и ее компонентов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для заготовки, хранения и транспортировки донорской крови и ее компонентов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32.50.50.180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144260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144270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144300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145490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(набор, устройства, системы, комплект и т.п.) для заготовки, хранения и транспортировки донорской крови и ее компонентов, в том числе с лейкоцитарным фильтром, для получения цельной крови у донора и получения компонентов донорской крови в соответствии с Правилами заготовки, хранения, транспортировки и клинического использования донорской крови и ее компонентов. Изделия одноразового использования, стерильные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без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однокамерные (общий объем контейнера -  500 мл -  1000 мл)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(набор, устройства, системы, комплект и т.п.) однокамерные, без антикоагулянта и/или раствора консерванта крови, стерильные, в том числе предназначенные для отмывания клеток крови, с общим объемом контейнера -  500 мл -  1000 мл</w:t>
            </w:r>
            <w:proofErr w:type="gramEnd"/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без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однокамерные (общий объем контейнера - &lt; 500 мл)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145490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(набор, устройства, системы, комплект и т.п.) однокамерные, без антикоагулянта и (или) раствора консерванта крови, стерильные, с общим объемом контейнера - &lt; 500 мл</w:t>
            </w:r>
            <w:proofErr w:type="gramEnd"/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без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двухкамерные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145490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(набор, устройства, системы, комплект и т.п.) двухкамерные, без антикоагулянта и/или раствора консерванта крови, стерильные</w:t>
            </w:r>
            <w:proofErr w:type="gramEnd"/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двухкамерные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трехкамерные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донорской крови и ее компонентов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четырехкамерные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2.1.8.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для заготовки, хранения и транспортировки донорской крови и ее компонентов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лейкоцитарным фильтром,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трехкамерные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компонентов,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лейкоцитарным фильтром, четырехкамерные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конфигурацией контейнеров "верх/низ" (T&amp;B)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32.50.50.180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(набор, устройства, системы, комплект и т.п.) для заготовки, хранения и транспортировки донорской крови и ее компонентов, в том числе с лейкоцитарным фильтром, для получения цельной крови у донора и получения компонентов донорской крови в соответствии с Правилами заготовки, хранения, транспортировки и клинического использования донорской крови и ее компонентов. Изделия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предназначены для заготовки компонентов крови с использованием автоматических экстракторов/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фракционаторов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состав медицинского изделия входит контейнер с конфигурацией "верх/низ" (T&amp;B) (расположение трубок (магистралей) "верх/низ"). Изделия одноразового использования, стерильные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компонентов,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конфигурацией контейнеров "верх/низ" (T&amp;B),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трехкамерные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компонентов,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конфигурация контейнеров "верх/низ" (T&amp;B), четырехкамерные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компонентов, с конфигурацией контейнеров "верх/низ" (T&amp;B),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лейкоцитарным фильтром,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трехкамерные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2.2.4.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компонентов, с конфигурацией контейнеров "верх/низ" (T&amp;B), с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гемоконсервантом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лейкоцитарным фильтром, четырехкамерные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для глубокой заморозки компонентов донорской крови (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криоконсервирования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32.50.50.180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145490 350020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(набор, устройства, системы, комплект и т.п.) однократного применения, стерильные, предназначенные для длительного хранения донорской крови, ее компонентов и тканей при сверхнизких температурах</w:t>
            </w:r>
          </w:p>
        </w:tc>
      </w:tr>
      <w:tr w:rsidR="00847CC5" w:rsidRPr="00847CC5" w:rsidTr="00847CC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Расходные материалы для аппаратов искусственной вентиляции легких и наркозно-дыхательных аппаратов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(набор, устройства, системы, комплект и т.п.) дыхательный для аппарата искусственной вентиляции легких и наркозно-дыхательного аппарата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32.50.13.150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32.50.21.121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32.50.21.122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32.50.21.123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185610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 дыхательный - это устройство (система, комплект, набор и т.п.), предназначенное для передачи воздуха или обогащенной кислородом газовой смеси или медицинских газов от источника газа (аппаратов искусственной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вентиляции легких и наркозно-дыхательных аппаратов) к пациенту. Состоит из дыхательных трубок (шлангов), комплектующих и принадлежностей. Может быть в антимикробном исполнении. Это изделие одноразового использования, нестерильное. В данный подраздел не входят:</w:t>
            </w:r>
          </w:p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дыхательный с диаметром трубок (шлангов)  10 мм;</w:t>
            </w:r>
          </w:p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дыхательный с встроенными нагревательными элементами (проводами/элементами нагрева);</w:t>
            </w:r>
          </w:p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дыхательный с коаксиальными трубками (шлангами)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дыхательный для наркозно-дыхательного аппарата (анестезиологический)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контур (набор, устройства, системы, комплект и т.п.) дыхательный, предназначенный для передачи медицинских газов от наркозно-дыхательных аппаратов к пациенту, в том числе в антимикробном исполнении. Это изделие одноразового использования,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нестерильное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дыхательный для аппарата искусственной вентиляции легких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(набор, устройства, системы, комплект и т.п.) дыхательный, предназначенный для передачи воздуха или обогащенной кислородом газовой смеси от аппарата искусственной вентиляции легких к пациенту, в том числе в антимикробном исполнении. Это изделие одноразового использования, нестерильное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дыхательный (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тепловлагообменник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/бактериальный фильтр, бактериальный фильтр для медицинских газов)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32.50.13.150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32.50.21.121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32.50.21.122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32.50.21.123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32.50.21.129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 дыхательный - это изделие, предназначенное для удаления микроорганизмов из медицинских газов, воздуха или обогащенной кислородом газовой смеси для предотвращения воздействия на пациента в процессе дыхания или анестезии. Фильтр помещен в пластиковый корпус и может также фильтровать другие мелкие частицы. Может содержать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тепловлагообменник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поддержания нормального состояния слизистых оболочек дыхательных путей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захвата образовавшегося в результате выдоха пациента тепла и влаги для их использования с целью нагрева и увлажнения терапевтических газов, вдыхаемых пациентом. Изделие выпускается в стерильном и нестерильном исполнениях. Это изделие одноразового использования.</w:t>
            </w:r>
          </w:p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данный подраздел не входят фильтры с внутренним объемом  15 куб. см (мл)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дыхательный (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тепловлагообменник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/бактериальный фильтр)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 дыхательный, содержащий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тепловлагообменник</w:t>
            </w:r>
            <w:proofErr w:type="spellEnd"/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дыхательный (бактериальный для медицинских газов)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 дыхательный, без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тепловлагообменника</w:t>
            </w:r>
            <w:proofErr w:type="spellEnd"/>
          </w:p>
        </w:tc>
      </w:tr>
      <w:tr w:rsidR="00847CC5" w:rsidRPr="00847CC5" w:rsidTr="00847CC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4. Расходные материалы для аппаратов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донорского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для сбора плазмы методом центрифугирования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32.50.50.180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(устройства, система, комплект и т.п.) расходных материалов для сбора, транспортировки и хранения плазмы методом центрифугирования к аппаратам для автоматического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однократного применения, стерильный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расходных материалов для сбора плазмы методом центрифугирования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однокамерных контейнеров для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донорского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двухкамерных контейнеров для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донорского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трехкамерных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контейнеров для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донорского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магистралей для аппарата донорского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расходных материалов для аппарата донорского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32.50.50.000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32.50.50.180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(устройства, система, комплект и т.п.) расходных материалов для сбора, транспортировки и хранения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тромбоцитного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концентрата методом центрифугирования к аппаратам для автоматического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однократного применения, стерильный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с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антикоагулянтом или раствором для консервирования компонентов крови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32.50.13.190</w:t>
            </w:r>
          </w:p>
          <w:p w:rsidR="0006253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32.50.50.000 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&lt;**&gt;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32.50.50.180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21.20.23.199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145450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145500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контейнер с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раствором, предназначенным для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антикоагуляции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для консервирования компонентов крови, не предназначенным для прямой внутривенной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инфузии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стерильный, однократного применения</w:t>
            </w:r>
            <w:proofErr w:type="gramEnd"/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с антикоагулянтом для донорского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для консервирования компонентов крови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145500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с антикоагулянтом цитрат натрия 4%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донорского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145500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с раствором антикоагулянта и/или консерванта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донорского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145500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с раствором антикоагулянта или консерванта, предназначенным для сбора и хранения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тромбоцитного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концентрата и не предназначенным для прямой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внутривенной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инфузии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Изделие однократного применения, стерильное.</w:t>
            </w:r>
          </w:p>
        </w:tc>
      </w:tr>
      <w:tr w:rsidR="00847CC5" w:rsidRPr="00847CC5" w:rsidTr="00847CC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Мочеприемники и калоприемники однокомпонентные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Калоприемники однокомпонентные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32.50.13.110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32.50.50.141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152450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калоприемники предназначены для реабилитации </w:t>
            </w: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пациентов при нарушениях функции выделения кала, при отдельных диагнозах, после проведения операций. Калоприемник однокомпонентный - это пластиковый мешок, разработанный для фиксации на коже пациента вокруг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стомы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в качестве емкости для сбора кишечных выделений после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колостомии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илеостомии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Дистальный конец мешка может открываться для удаления отходов (дренируемый, открытого типа) или дистальный конец мешка может быть закрытым, без возможности опорожнения содержимого (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недренируемый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закрытого типа). В данный подраздел входят калоприемники однокомпонентные, с плоской пластиной, с диаметром предварительного отверстия -  20 мм, с подложкой из нетканого материала. Это изделие для одноразового использования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Калоприемник однокомпонентный закрытого типа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калоприемник однокомпонентный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недренируемый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фильтром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Калоприемник однокомпонентный открытого типа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калоприемник однокомпонентный дренируемый, с фильтром или без него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Мочеприемник однокомпонентный, не носимый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32.50.13.110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152470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152480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156370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мочеприемник предназначен для реабилитации при нарушениях естественного оттока мочи, после проведения операций, для использования при наличии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цистостомы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Гибкий пластиковый мешок, разработанный для подсоединения к мочевому катетеру или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уропрезервативу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сбора выделяемой пациентом мочи. Изделие не фиксируется на теле пациента (не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носимый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Мочеприемники бывают закрытыми и со сливным краном. Изделие выпускается с подложкой из нетканого материала или без нее, в стерильном и нестерильном исполнениях. Это изделие предназначено для одноразового использования</w:t>
            </w:r>
          </w:p>
        </w:tc>
      </w:tr>
      <w:tr w:rsidR="00847CC5" w:rsidRPr="00847CC5" w:rsidTr="0006253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Мочеприемник однокомпонентный, носимый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32.50.13.190</w:t>
            </w:r>
          </w:p>
          <w:p w:rsidR="00847CC5" w:rsidRPr="0006253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32.50.13.110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32.50.50.141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152430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156400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152430</w:t>
            </w:r>
          </w:p>
          <w:p w:rsidR="00847CC5" w:rsidRPr="00847CC5" w:rsidRDefault="00847CC5" w:rsidP="00847C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47CC5" w:rsidRPr="00847CC5" w:rsidRDefault="00847CC5" w:rsidP="00847C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мочеприемник предназначен для реабилитации при нарушениях естественного оттока мочи, после проведения операций, для использования при наличии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цистостомы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Гибкий пластиковый мешок, разработанный для подсоединения к мочевому катетеру или </w:t>
            </w:r>
            <w:proofErr w:type="spell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уропрезервативу</w:t>
            </w:r>
            <w:proofErr w:type="spell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сбора выделяемой пациентом мочи. </w:t>
            </w:r>
            <w:proofErr w:type="gramStart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фиксируется на теле пациента (носимый), в том числе самоклеящийся для младенцев (педиатрический).</w:t>
            </w:r>
            <w:proofErr w:type="gramEnd"/>
            <w:r w:rsidRPr="0084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Мочеприемники бывают закрытыми и со сливным краном. Изделие выпускается с подложкой из нетканого материала или без нее, в стерильном и нестерильном исполнениях. Это изделие предназначено для одноразового использования</w:t>
            </w:r>
          </w:p>
        </w:tc>
      </w:tr>
    </w:tbl>
    <w:p w:rsidR="00062535" w:rsidRDefault="00062535" w:rsidP="00847CC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47CC5" w:rsidRPr="00847CC5" w:rsidRDefault="00847CC5" w:rsidP="00847CC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Примечание. При применении настоящего перечня следует руководствоваться указанными в соответствующих подразделе и пункте данного перечня классификационными признаками медицинского изделия, применимыми к закупаемому медицинскому изделию, а также кодами Общероссийского </w:t>
      </w:r>
      <w:r w:rsidRPr="000625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классификатора 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продукции по видам экономической деятельности (ОКПД 2) </w:t>
      </w:r>
      <w:proofErr w:type="gramStart"/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gramEnd"/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034-2014 (КПЕС 2008) и (или) кодами вида медицинского изделия в соответствии с 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номенклатурной классификацией медицинских изделий, утвержденной приказом Министерства здравоохранения Российской Федерации (НКМИ). Классификационные признаки медицинского изделия, указанные в каждом подразделе данного перечня, распространяются на все пункты данного подраздела. Для медицинских изделий, соответствующих классификационным признакам, указанным в настоящем перечне, допускается классификация </w:t>
      </w:r>
      <w:r w:rsidRPr="000625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кодами ОКПД 2, 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указанными в применимом к продукции подразделе.</w:t>
      </w:r>
    </w:p>
    <w:p w:rsidR="00847CC5" w:rsidRPr="00847CC5" w:rsidRDefault="00847CC5" w:rsidP="00847CC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847CC5" w:rsidRPr="00847CC5" w:rsidRDefault="00847CC5" w:rsidP="00847CC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&lt;*&gt; Код вида медицинского изделия указан в соответствии с номенклатурной классификацией медицинских изделий, утвержденной приказом Министерства здравоохранения Российской Федерации.</w:t>
      </w:r>
    </w:p>
    <w:p w:rsidR="00847CC5" w:rsidRPr="00847CC5" w:rsidRDefault="00847CC5" w:rsidP="00847CC5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&lt;**&gt; Код </w:t>
      </w:r>
      <w:r w:rsidRPr="000625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Общероссийского классификатора </w:t>
      </w:r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продукции по видам экономической деятельности (ОКПД 2) </w:t>
      </w:r>
      <w:proofErr w:type="gramStart"/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gramEnd"/>
      <w:r w:rsidRPr="00847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034-2014 (КПЕС 2008), которым классифицируются такие медицинские изделия, указанный в регистрационном удостоверении на медицинское изделие.".</w:t>
      </w:r>
    </w:p>
    <w:p w:rsidR="000D2CBB" w:rsidRPr="00847CC5" w:rsidRDefault="000D2CBB" w:rsidP="00847CC5"/>
    <w:sectPr w:rsidR="000D2CBB" w:rsidRPr="0084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1E"/>
    <w:rsid w:val="00062535"/>
    <w:rsid w:val="000D2CBB"/>
    <w:rsid w:val="006C3A1E"/>
    <w:rsid w:val="007B5B50"/>
    <w:rsid w:val="00847CC5"/>
    <w:rsid w:val="00B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3A1E"/>
    <w:rPr>
      <w:color w:val="0000FF"/>
      <w:u w:val="single"/>
    </w:rPr>
  </w:style>
  <w:style w:type="paragraph" w:customStyle="1" w:styleId="s16">
    <w:name w:val="s_16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3A1E"/>
  </w:style>
  <w:style w:type="paragraph" w:styleId="HTML">
    <w:name w:val="HTML Preformatted"/>
    <w:basedOn w:val="a"/>
    <w:link w:val="HTML0"/>
    <w:uiPriority w:val="99"/>
    <w:semiHidden/>
    <w:unhideWhenUsed/>
    <w:rsid w:val="006C3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3A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3A1E"/>
    <w:rPr>
      <w:color w:val="0000FF"/>
      <w:u w:val="single"/>
    </w:rPr>
  </w:style>
  <w:style w:type="paragraph" w:customStyle="1" w:styleId="s16">
    <w:name w:val="s_16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3A1E"/>
  </w:style>
  <w:style w:type="paragraph" w:styleId="HTML">
    <w:name w:val="HTML Preformatted"/>
    <w:basedOn w:val="a"/>
    <w:link w:val="HTML0"/>
    <w:uiPriority w:val="99"/>
    <w:semiHidden/>
    <w:unhideWhenUsed/>
    <w:rsid w:val="006C3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3A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6C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2022-04-27T04:41:00Z</dcterms:created>
  <dcterms:modified xsi:type="dcterms:W3CDTF">2022-04-27T07:59:00Z</dcterms:modified>
</cp:coreProperties>
</file>