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658C" w14:textId="77777777" w:rsidR="00145BAC" w:rsidRPr="00287F52" w:rsidRDefault="00145BAC" w:rsidP="00287F52">
      <w:pPr>
        <w:pStyle w:val="aligncenter"/>
        <w:shd w:val="clear" w:color="auto" w:fill="FFFFFF"/>
        <w:spacing w:before="0" w:beforeAutospacing="0" w:after="0" w:afterAutospacing="0" w:line="450" w:lineRule="atLeast"/>
        <w:ind w:firstLine="709"/>
        <w:contextualSpacing/>
        <w:jc w:val="center"/>
        <w:outlineLvl w:val="1"/>
        <w:rPr>
          <w:b/>
          <w:bCs/>
          <w:color w:val="000000"/>
          <w:kern w:val="36"/>
        </w:rPr>
      </w:pPr>
      <w:r w:rsidRPr="00287F52">
        <w:rPr>
          <w:b/>
          <w:bCs/>
          <w:color w:val="000000"/>
          <w:kern w:val="36"/>
        </w:rPr>
        <w:t>ПРАВИТЕЛЬСТВО РОССИЙСКОЙ ФЕДЕРАЦИИ</w:t>
      </w:r>
    </w:p>
    <w:p w14:paraId="682E7284" w14:textId="77777777" w:rsidR="00145BAC" w:rsidRPr="00287F52" w:rsidRDefault="00145BAC" w:rsidP="00287F52">
      <w:pPr>
        <w:pStyle w:val="aligncenter"/>
        <w:shd w:val="clear" w:color="auto" w:fill="FFFFFF"/>
        <w:spacing w:before="0" w:beforeAutospacing="0" w:after="0" w:afterAutospacing="0" w:line="450" w:lineRule="atLeast"/>
        <w:ind w:firstLine="709"/>
        <w:contextualSpacing/>
        <w:jc w:val="center"/>
        <w:outlineLvl w:val="1"/>
        <w:rPr>
          <w:b/>
          <w:bCs/>
          <w:color w:val="000000"/>
          <w:kern w:val="36"/>
        </w:rPr>
      </w:pPr>
      <w:r w:rsidRPr="00287F52">
        <w:rPr>
          <w:b/>
          <w:bCs/>
          <w:color w:val="000000"/>
          <w:kern w:val="36"/>
        </w:rPr>
        <w:t>ПОСТАНОВЛЕНИЕ</w:t>
      </w:r>
    </w:p>
    <w:p w14:paraId="58EC16CE" w14:textId="6E9A2968" w:rsidR="00145BAC" w:rsidRPr="00287F52" w:rsidRDefault="00145BAC" w:rsidP="00287F52">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r w:rsidRPr="00287F52">
        <w:rPr>
          <w:b/>
          <w:bCs/>
          <w:color w:val="000000"/>
          <w:kern w:val="36"/>
        </w:rPr>
        <w:t xml:space="preserve">от 28 июня 2022 г. </w:t>
      </w:r>
      <w:r w:rsidR="00287F52">
        <w:rPr>
          <w:b/>
          <w:bCs/>
          <w:color w:val="000000"/>
          <w:kern w:val="36"/>
        </w:rPr>
        <w:t>№</w:t>
      </w:r>
      <w:r w:rsidRPr="00287F52">
        <w:rPr>
          <w:b/>
          <w:bCs/>
          <w:color w:val="000000"/>
          <w:kern w:val="36"/>
        </w:rPr>
        <w:t xml:space="preserve"> 1148</w:t>
      </w:r>
    </w:p>
    <w:p w14:paraId="6C8E4E13" w14:textId="5F6B9BB6" w:rsidR="00145BAC" w:rsidRDefault="00145BAC" w:rsidP="000241AD">
      <w:pPr>
        <w:pStyle w:val="a4"/>
        <w:shd w:val="clear" w:color="auto" w:fill="FFFFFF"/>
        <w:spacing w:before="0" w:beforeAutospacing="0" w:after="0" w:afterAutospacing="0"/>
        <w:ind w:firstLine="709"/>
        <w:contextualSpacing/>
        <w:jc w:val="center"/>
        <w:rPr>
          <w:b/>
          <w:bCs/>
          <w:color w:val="000000"/>
          <w:kern w:val="36"/>
        </w:rPr>
      </w:pPr>
      <w:r w:rsidRPr="00287F52">
        <w:rPr>
          <w:b/>
          <w:bCs/>
          <w:color w:val="000000"/>
          <w:kern w:val="36"/>
        </w:rPr>
        <w:t xml:space="preserve">"Об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постановление Правительства Российской Федерации от 9 августа 2021 г. </w:t>
      </w:r>
      <w:r w:rsidR="00287F52">
        <w:rPr>
          <w:b/>
          <w:bCs/>
          <w:color w:val="000000"/>
          <w:kern w:val="36"/>
        </w:rPr>
        <w:t>№</w:t>
      </w:r>
      <w:r w:rsidRPr="00287F52">
        <w:rPr>
          <w:b/>
          <w:bCs/>
          <w:color w:val="000000"/>
          <w:kern w:val="36"/>
        </w:rPr>
        <w:t xml:space="preserve"> 1315" </w:t>
      </w:r>
    </w:p>
    <w:p w14:paraId="3E418E20" w14:textId="77777777" w:rsidR="000241AD" w:rsidRPr="00287F52" w:rsidRDefault="000241AD" w:rsidP="000241AD">
      <w:pPr>
        <w:pStyle w:val="a4"/>
        <w:shd w:val="clear" w:color="auto" w:fill="FFFFFF"/>
        <w:spacing w:before="0" w:beforeAutospacing="0" w:after="0" w:afterAutospacing="0"/>
        <w:ind w:firstLine="709"/>
        <w:contextualSpacing/>
        <w:jc w:val="center"/>
        <w:rPr>
          <w:color w:val="000000"/>
        </w:rPr>
      </w:pPr>
      <w:bookmarkStart w:id="0" w:name="_GoBack"/>
      <w:bookmarkEnd w:id="0"/>
    </w:p>
    <w:p w14:paraId="3DE21230" w14:textId="0E2640BD" w:rsidR="00145BAC" w:rsidRPr="00287F52" w:rsidRDefault="00145BAC" w:rsidP="00287F52">
      <w:pPr>
        <w:pStyle w:val="a4"/>
        <w:shd w:val="clear" w:color="auto" w:fill="FFFFFF"/>
        <w:spacing w:before="0" w:beforeAutospacing="0" w:after="0" w:afterAutospacing="0"/>
        <w:ind w:firstLine="709"/>
        <w:contextualSpacing/>
        <w:jc w:val="both"/>
        <w:rPr>
          <w:color w:val="000000"/>
        </w:rPr>
      </w:pPr>
      <w:r w:rsidRPr="00287F52">
        <w:rPr>
          <w:color w:val="000000"/>
        </w:rPr>
        <w:t>В связи с существенным увеличением в 2021 и 2022 годах цен на строительные ресурсы Правительство Российской Федерации постановляет:</w:t>
      </w:r>
    </w:p>
    <w:p w14:paraId="24E099A0" w14:textId="4E10474D"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1. Установить, что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в 2022 году допускается изменение существенных условий государственных контрактов, заключенных до 1 июля 2022 г., предметом которых являются ремонт и (или) содержание автомобильных дорог общего пользования федерального значения (далее - контракт), сторонами которых являются Федеральное дорожное агентство или подведомственные ему федеральные казенные учреждения, если при исполнении таких контрактов возникли независящие от сторон контрактов обстоятельства, влекущие невозможность их исполнения, при соблюдении следующих условий:</w:t>
      </w:r>
    </w:p>
    <w:p w14:paraId="57724EF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 xml:space="preserve">а) государственным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w:t>
      </w:r>
      <w:proofErr w:type="gramStart"/>
      <w:r w:rsidRPr="00287F52">
        <w:rPr>
          <w:color w:val="000000"/>
        </w:rPr>
        <w:t>в пределах</w:t>
      </w:r>
      <w:proofErr w:type="gramEnd"/>
      <w:r w:rsidRPr="00287F52">
        <w:rPr>
          <w:color w:val="000000"/>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574C2A47"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б) размер изменения (увеличения) цены контракта, финансируемого с привлечением средств бюджетов бюджетной системы Российской Федерации, средств юридических лиц, созданных Российской Федерацией, доля Российской Федерации в уставных (складочных) капиталах которых составляет более 50 процентов, 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 изменения существенных условий контракта в связи с увеличением цен на строительные ресурсы;</w:t>
      </w:r>
    </w:p>
    <w:p w14:paraId="1FFEC9C0" w14:textId="3F1B4F24"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 срок проведения проверки, указанной в подпункте "6" настоящего пункта, с выдачей соответствующего заключения не может превышать 14 рабочих дней;</w:t>
      </w:r>
    </w:p>
    <w:p w14:paraId="0C8E8A11" w14:textId="350C2762"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г) размер изменения (увеличения) цены контракта определяется в порядке, установленном методикой изменения (увеличения) цены контракта согласно приложению;</w:t>
      </w:r>
    </w:p>
    <w:p w14:paraId="5353744F"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д) с целью изменения в соответствии с настоящим постановлением существенных условий контракта:</w:t>
      </w:r>
    </w:p>
    <w:p w14:paraId="43A1D523"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14:paraId="327A82C5" w14:textId="07A5468C"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законом "0 контрактной системе в сфере закупок товаров, работ, услуг для обеспечения государственных и муниципальных нужд" информации об изменении существенных условий контракта в реестр контрактов либо отказ в письменной форме от изменения существенных условий контракта с его обоснованием.</w:t>
      </w:r>
    </w:p>
    <w:p w14:paraId="20F79E5A" w14:textId="3F32715B"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lastRenderedPageBreak/>
        <w:t xml:space="preserve">2. В целях изменения (увеличения) цены контрактов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ремонт и содержание автомобильных дорог общего пользования федерального значения может превышать размер средств на указанные цели, рассчитанный в соответствии с Правилами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w:t>
      </w:r>
      <w:r w:rsidR="00287F52">
        <w:rPr>
          <w:color w:val="000000"/>
        </w:rPr>
        <w:t>№</w:t>
      </w:r>
      <w:r w:rsidRPr="00287F52">
        <w:rPr>
          <w:color w:val="000000"/>
        </w:rPr>
        <w:t xml:space="preserve">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предусмотренного подпунктом "в" пункта 1 настоящего постановления.</w:t>
      </w:r>
    </w:p>
    <w:p w14:paraId="5682B3EB" w14:textId="311729EC"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3. Рекомендовать высшим исполнительным органам субъектов Российской Федерации и местным администрациям принять меры, обеспечивающие возможность изменения существенных условий государственных и муниципальных контрактов, предметом которых являются ремонт и (или) содержание автомобильных дорог общего пользования регионального, межмуниципального и местного значения и которые заключены в соответствии с Федеральным законом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таких контрактов, с учетом положений настоящего постановления.</w:t>
      </w:r>
    </w:p>
    <w:p w14:paraId="6F3D1450" w14:textId="2CFBA3A3"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4. Рекомендовать Государственной компании "Российские автомобильные дороги", осуществляющей закупки в соответствии с Федеральным законом "О закупках товаров, работ, услуг отдельными видами юридических лиц", при изменении (увеличении) цены договора, предметом которого являются ремонт и (или) содержание автомобильных дорог общего пользования федерального значения и который заключен в соответствии с указанным Федеральным законом, в связи с существенным увеличением цен на строительные ресурсы, подлежащие поставке и (или) использованию в соответствии с условиями такого договора, учитывать положения настоящего постановления.</w:t>
      </w:r>
    </w:p>
    <w:p w14:paraId="15412804" w14:textId="2EC7F1BC"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 xml:space="preserve">5. Пункт 2 постановления Правительства Российской Федерации от 9 августа 2021 г. </w:t>
      </w:r>
      <w:r w:rsidR="00287F52">
        <w:rPr>
          <w:color w:val="000000"/>
        </w:rPr>
        <w:t>№</w:t>
      </w:r>
      <w:r w:rsidRPr="00287F52">
        <w:rPr>
          <w:color w:val="000000"/>
        </w:rPr>
        <w:t xml:space="preserve"> 1315 "О внесении изменений в некоторые акты Правительства Российской Федерации" (Собрание законодательства Российской Федерации, 2021, </w:t>
      </w:r>
      <w:r w:rsidR="00287F52">
        <w:rPr>
          <w:color w:val="000000"/>
        </w:rPr>
        <w:t>№</w:t>
      </w:r>
      <w:r w:rsidRPr="00287F52">
        <w:rPr>
          <w:color w:val="000000"/>
        </w:rPr>
        <w:t xml:space="preserve"> 33, ст. 6107; </w:t>
      </w:r>
      <w:r w:rsidR="00287F52">
        <w:rPr>
          <w:color w:val="000000"/>
        </w:rPr>
        <w:t>№</w:t>
      </w:r>
      <w:r w:rsidRPr="00287F52">
        <w:rPr>
          <w:color w:val="000000"/>
        </w:rPr>
        <w:t xml:space="preserve"> 45, ст. 7497; 2022, </w:t>
      </w:r>
      <w:r w:rsidR="00287F52">
        <w:rPr>
          <w:color w:val="000000"/>
        </w:rPr>
        <w:t>№</w:t>
      </w:r>
      <w:r w:rsidRPr="00287F52">
        <w:rPr>
          <w:color w:val="000000"/>
        </w:rPr>
        <w:t xml:space="preserve"> 2, ст. 532) дополнить подпунктом "д" следующего содержания:</w:t>
      </w:r>
    </w:p>
    <w:p w14:paraId="7FA8EB1B" w14:textId="3342BFDE"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 xml:space="preserve">"д) в соответствии с пунктом 18 статьи 11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Правилами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w:t>
      </w:r>
      <w:r w:rsidR="00287F52">
        <w:rPr>
          <w:color w:val="000000"/>
        </w:rPr>
        <w:t>№</w:t>
      </w:r>
      <w:r w:rsidRPr="00287F52">
        <w:rPr>
          <w:color w:val="000000"/>
        </w:rPr>
        <w:t xml:space="preserve">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
    <w:p w14:paraId="0E5059DB" w14:textId="1BD5BAB7" w:rsidR="00145BAC"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lastRenderedPageBreak/>
        <w:t>6. Настоящее постановление вступает в силу с 1 июля 2022 г.</w:t>
      </w:r>
    </w:p>
    <w:p w14:paraId="7168BE04" w14:textId="5A4EA0DA" w:rsidR="00287F52" w:rsidRDefault="00287F52" w:rsidP="00287F52">
      <w:pPr>
        <w:pStyle w:val="a4"/>
        <w:shd w:val="clear" w:color="auto" w:fill="FFFFFF"/>
        <w:spacing w:before="210" w:beforeAutospacing="0" w:after="0" w:afterAutospacing="0"/>
        <w:ind w:firstLine="709"/>
        <w:contextualSpacing/>
        <w:jc w:val="both"/>
        <w:rPr>
          <w:color w:val="000000"/>
        </w:rPr>
      </w:pPr>
    </w:p>
    <w:p w14:paraId="157DBFB6" w14:textId="77777777" w:rsidR="00287F52" w:rsidRPr="00287F52" w:rsidRDefault="00287F52" w:rsidP="00287F52">
      <w:pPr>
        <w:pStyle w:val="a4"/>
        <w:shd w:val="clear" w:color="auto" w:fill="FFFFFF"/>
        <w:spacing w:before="210" w:beforeAutospacing="0" w:after="0" w:afterAutospacing="0"/>
        <w:ind w:firstLine="709"/>
        <w:contextualSpacing/>
        <w:jc w:val="both"/>
        <w:rPr>
          <w:color w:val="000000"/>
        </w:rPr>
      </w:pPr>
    </w:p>
    <w:p w14:paraId="5F13589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p>
    <w:p w14:paraId="3B93E187" w14:textId="77777777"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r w:rsidRPr="00287F52">
        <w:rPr>
          <w:color w:val="000000"/>
        </w:rPr>
        <w:t>Председатель Правительства</w:t>
      </w:r>
    </w:p>
    <w:p w14:paraId="333FD003" w14:textId="77777777"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r w:rsidRPr="00287F52">
        <w:rPr>
          <w:color w:val="000000"/>
        </w:rPr>
        <w:t>Российской Федерации</w:t>
      </w:r>
    </w:p>
    <w:p w14:paraId="321BC002" w14:textId="2A5630AE"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r w:rsidRPr="00287F52">
        <w:rPr>
          <w:color w:val="000000"/>
        </w:rPr>
        <w:t>М.МИШУСТИН</w:t>
      </w:r>
    </w:p>
    <w:p w14:paraId="47964DC4" w14:textId="043A4E0F"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p>
    <w:p w14:paraId="4BD14793" w14:textId="36B3C019"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28DD55ED" w14:textId="4E362C94"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0F590E8C" w14:textId="668FD019"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362F349C" w14:textId="4C02233B" w:rsidR="00145BAC" w:rsidRDefault="00145BAC" w:rsidP="00145BAC">
      <w:pPr>
        <w:pStyle w:val="alignright"/>
        <w:shd w:val="clear" w:color="auto" w:fill="FFFFFF"/>
        <w:spacing w:before="0" w:beforeAutospacing="0" w:after="0" w:afterAutospacing="0"/>
        <w:jc w:val="right"/>
        <w:rPr>
          <w:color w:val="000000"/>
          <w:sz w:val="30"/>
          <w:szCs w:val="30"/>
        </w:rPr>
      </w:pPr>
    </w:p>
    <w:p w14:paraId="090E711E" w14:textId="0A1647D8" w:rsidR="00145BAC" w:rsidRDefault="00145BAC" w:rsidP="00145BAC">
      <w:pPr>
        <w:pStyle w:val="alignright"/>
        <w:shd w:val="clear" w:color="auto" w:fill="FFFFFF"/>
        <w:spacing w:before="0" w:beforeAutospacing="0" w:after="0" w:afterAutospacing="0"/>
        <w:jc w:val="right"/>
        <w:rPr>
          <w:color w:val="000000"/>
          <w:sz w:val="30"/>
          <w:szCs w:val="30"/>
        </w:rPr>
      </w:pPr>
    </w:p>
    <w:p w14:paraId="13CEE8F0" w14:textId="03CAECE6" w:rsidR="00145BAC" w:rsidRDefault="00145BAC" w:rsidP="00145BAC">
      <w:pPr>
        <w:pStyle w:val="alignright"/>
        <w:shd w:val="clear" w:color="auto" w:fill="FFFFFF"/>
        <w:spacing w:before="0" w:beforeAutospacing="0" w:after="0" w:afterAutospacing="0"/>
        <w:jc w:val="right"/>
        <w:rPr>
          <w:color w:val="000000"/>
          <w:sz w:val="30"/>
          <w:szCs w:val="30"/>
        </w:rPr>
      </w:pPr>
    </w:p>
    <w:p w14:paraId="1AEEDF64" w14:textId="58FCBCC5" w:rsidR="00145BAC" w:rsidRDefault="00145BAC" w:rsidP="00145BAC">
      <w:pPr>
        <w:pStyle w:val="alignright"/>
        <w:shd w:val="clear" w:color="auto" w:fill="FFFFFF"/>
        <w:spacing w:before="0" w:beforeAutospacing="0" w:after="0" w:afterAutospacing="0"/>
        <w:jc w:val="right"/>
        <w:rPr>
          <w:color w:val="000000"/>
          <w:sz w:val="30"/>
          <w:szCs w:val="30"/>
        </w:rPr>
      </w:pPr>
    </w:p>
    <w:p w14:paraId="72E2A94E" w14:textId="7C860A12" w:rsidR="00145BAC" w:rsidRDefault="00145BAC" w:rsidP="00145BAC">
      <w:pPr>
        <w:pStyle w:val="alignright"/>
        <w:shd w:val="clear" w:color="auto" w:fill="FFFFFF"/>
        <w:spacing w:before="0" w:beforeAutospacing="0" w:after="0" w:afterAutospacing="0"/>
        <w:jc w:val="right"/>
        <w:rPr>
          <w:color w:val="000000"/>
          <w:sz w:val="30"/>
          <w:szCs w:val="30"/>
        </w:rPr>
      </w:pPr>
    </w:p>
    <w:p w14:paraId="3D3D54BE" w14:textId="74E8CEC4" w:rsidR="00145BAC" w:rsidRDefault="00145BAC" w:rsidP="00145BAC">
      <w:pPr>
        <w:pStyle w:val="alignright"/>
        <w:shd w:val="clear" w:color="auto" w:fill="FFFFFF"/>
        <w:spacing w:before="0" w:beforeAutospacing="0" w:after="0" w:afterAutospacing="0"/>
        <w:jc w:val="right"/>
        <w:rPr>
          <w:color w:val="000000"/>
          <w:sz w:val="30"/>
          <w:szCs w:val="30"/>
        </w:rPr>
      </w:pPr>
    </w:p>
    <w:p w14:paraId="22513BED" w14:textId="2174BD5B" w:rsidR="00145BAC" w:rsidRDefault="00145BAC" w:rsidP="00145BAC">
      <w:pPr>
        <w:pStyle w:val="alignright"/>
        <w:shd w:val="clear" w:color="auto" w:fill="FFFFFF"/>
        <w:spacing w:before="0" w:beforeAutospacing="0" w:after="0" w:afterAutospacing="0"/>
        <w:jc w:val="right"/>
        <w:rPr>
          <w:color w:val="000000"/>
          <w:sz w:val="30"/>
          <w:szCs w:val="30"/>
        </w:rPr>
      </w:pPr>
    </w:p>
    <w:p w14:paraId="1690FFC3" w14:textId="53B09C0D" w:rsidR="00145BAC" w:rsidRDefault="00145BAC" w:rsidP="00145BAC">
      <w:pPr>
        <w:pStyle w:val="alignright"/>
        <w:shd w:val="clear" w:color="auto" w:fill="FFFFFF"/>
        <w:spacing w:before="0" w:beforeAutospacing="0" w:after="0" w:afterAutospacing="0"/>
        <w:jc w:val="right"/>
        <w:rPr>
          <w:color w:val="000000"/>
          <w:sz w:val="30"/>
          <w:szCs w:val="30"/>
        </w:rPr>
      </w:pPr>
    </w:p>
    <w:p w14:paraId="395F921D" w14:textId="227531E3" w:rsidR="00145BAC" w:rsidRDefault="00145BAC" w:rsidP="00145BAC">
      <w:pPr>
        <w:pStyle w:val="alignright"/>
        <w:shd w:val="clear" w:color="auto" w:fill="FFFFFF"/>
        <w:spacing w:before="0" w:beforeAutospacing="0" w:after="0" w:afterAutospacing="0"/>
        <w:jc w:val="right"/>
        <w:rPr>
          <w:color w:val="000000"/>
          <w:sz w:val="30"/>
          <w:szCs w:val="30"/>
        </w:rPr>
      </w:pPr>
    </w:p>
    <w:p w14:paraId="050792A8" w14:textId="0E91EB8F" w:rsidR="00145BAC" w:rsidRDefault="00145BAC" w:rsidP="00145BAC">
      <w:pPr>
        <w:pStyle w:val="alignright"/>
        <w:shd w:val="clear" w:color="auto" w:fill="FFFFFF"/>
        <w:spacing w:before="0" w:beforeAutospacing="0" w:after="0" w:afterAutospacing="0"/>
        <w:jc w:val="right"/>
        <w:rPr>
          <w:color w:val="000000"/>
          <w:sz w:val="30"/>
          <w:szCs w:val="30"/>
        </w:rPr>
      </w:pPr>
    </w:p>
    <w:p w14:paraId="0F068D17" w14:textId="095F716B" w:rsidR="00145BAC" w:rsidRDefault="00145BAC" w:rsidP="00145BAC">
      <w:pPr>
        <w:pStyle w:val="alignright"/>
        <w:shd w:val="clear" w:color="auto" w:fill="FFFFFF"/>
        <w:spacing w:before="0" w:beforeAutospacing="0" w:after="0" w:afterAutospacing="0"/>
        <w:jc w:val="right"/>
        <w:rPr>
          <w:color w:val="000000"/>
          <w:sz w:val="30"/>
          <w:szCs w:val="30"/>
        </w:rPr>
      </w:pPr>
    </w:p>
    <w:p w14:paraId="2D8EC2FB" w14:textId="2E6E3787" w:rsidR="00145BAC" w:rsidRDefault="00145BAC" w:rsidP="00145BAC">
      <w:pPr>
        <w:pStyle w:val="alignright"/>
        <w:shd w:val="clear" w:color="auto" w:fill="FFFFFF"/>
        <w:spacing w:before="0" w:beforeAutospacing="0" w:after="0" w:afterAutospacing="0"/>
        <w:jc w:val="right"/>
        <w:rPr>
          <w:color w:val="000000"/>
          <w:sz w:val="30"/>
          <w:szCs w:val="30"/>
        </w:rPr>
      </w:pPr>
    </w:p>
    <w:p w14:paraId="5554F2A9" w14:textId="36EE1536" w:rsidR="00287F52" w:rsidRDefault="00287F52" w:rsidP="00145BAC">
      <w:pPr>
        <w:pStyle w:val="alignright"/>
        <w:shd w:val="clear" w:color="auto" w:fill="FFFFFF"/>
        <w:spacing w:before="0" w:beforeAutospacing="0" w:after="0" w:afterAutospacing="0"/>
        <w:jc w:val="right"/>
        <w:rPr>
          <w:color w:val="000000"/>
          <w:sz w:val="30"/>
          <w:szCs w:val="30"/>
        </w:rPr>
      </w:pPr>
    </w:p>
    <w:p w14:paraId="66B08DF5" w14:textId="1E42EBF0" w:rsidR="00287F52" w:rsidRDefault="00287F52" w:rsidP="00145BAC">
      <w:pPr>
        <w:pStyle w:val="alignright"/>
        <w:shd w:val="clear" w:color="auto" w:fill="FFFFFF"/>
        <w:spacing w:before="0" w:beforeAutospacing="0" w:after="0" w:afterAutospacing="0"/>
        <w:jc w:val="right"/>
        <w:rPr>
          <w:color w:val="000000"/>
          <w:sz w:val="30"/>
          <w:szCs w:val="30"/>
        </w:rPr>
      </w:pPr>
    </w:p>
    <w:p w14:paraId="08621A4D" w14:textId="3697B3B8" w:rsidR="00287F52" w:rsidRDefault="00287F52" w:rsidP="00145BAC">
      <w:pPr>
        <w:pStyle w:val="alignright"/>
        <w:shd w:val="clear" w:color="auto" w:fill="FFFFFF"/>
        <w:spacing w:before="0" w:beforeAutospacing="0" w:after="0" w:afterAutospacing="0"/>
        <w:jc w:val="right"/>
        <w:rPr>
          <w:color w:val="000000"/>
          <w:sz w:val="30"/>
          <w:szCs w:val="30"/>
        </w:rPr>
      </w:pPr>
    </w:p>
    <w:p w14:paraId="74D67913" w14:textId="62EFC8EF" w:rsidR="00287F52" w:rsidRDefault="00287F52" w:rsidP="00145BAC">
      <w:pPr>
        <w:pStyle w:val="alignright"/>
        <w:shd w:val="clear" w:color="auto" w:fill="FFFFFF"/>
        <w:spacing w:before="0" w:beforeAutospacing="0" w:after="0" w:afterAutospacing="0"/>
        <w:jc w:val="right"/>
        <w:rPr>
          <w:color w:val="000000"/>
          <w:sz w:val="30"/>
          <w:szCs w:val="30"/>
        </w:rPr>
      </w:pPr>
    </w:p>
    <w:p w14:paraId="23FC5C8E" w14:textId="2377845C" w:rsidR="00287F52" w:rsidRDefault="00287F52" w:rsidP="00145BAC">
      <w:pPr>
        <w:pStyle w:val="alignright"/>
        <w:shd w:val="clear" w:color="auto" w:fill="FFFFFF"/>
        <w:spacing w:before="0" w:beforeAutospacing="0" w:after="0" w:afterAutospacing="0"/>
        <w:jc w:val="right"/>
        <w:rPr>
          <w:color w:val="000000"/>
          <w:sz w:val="30"/>
          <w:szCs w:val="30"/>
        </w:rPr>
      </w:pPr>
    </w:p>
    <w:p w14:paraId="3B1D8FEB" w14:textId="782703AF" w:rsidR="00287F52" w:rsidRDefault="00287F52" w:rsidP="00145BAC">
      <w:pPr>
        <w:pStyle w:val="alignright"/>
        <w:shd w:val="clear" w:color="auto" w:fill="FFFFFF"/>
        <w:spacing w:before="0" w:beforeAutospacing="0" w:after="0" w:afterAutospacing="0"/>
        <w:jc w:val="right"/>
        <w:rPr>
          <w:color w:val="000000"/>
          <w:sz w:val="30"/>
          <w:szCs w:val="30"/>
        </w:rPr>
      </w:pPr>
    </w:p>
    <w:p w14:paraId="0BC53E33" w14:textId="28EFD41D" w:rsidR="00287F52" w:rsidRDefault="00287F52" w:rsidP="00145BAC">
      <w:pPr>
        <w:pStyle w:val="alignright"/>
        <w:shd w:val="clear" w:color="auto" w:fill="FFFFFF"/>
        <w:spacing w:before="0" w:beforeAutospacing="0" w:after="0" w:afterAutospacing="0"/>
        <w:jc w:val="right"/>
        <w:rPr>
          <w:color w:val="000000"/>
          <w:sz w:val="30"/>
          <w:szCs w:val="30"/>
        </w:rPr>
      </w:pPr>
    </w:p>
    <w:p w14:paraId="13A92F1C" w14:textId="5C80FF17" w:rsidR="00287F52" w:rsidRDefault="00287F52" w:rsidP="00145BAC">
      <w:pPr>
        <w:pStyle w:val="alignright"/>
        <w:shd w:val="clear" w:color="auto" w:fill="FFFFFF"/>
        <w:spacing w:before="0" w:beforeAutospacing="0" w:after="0" w:afterAutospacing="0"/>
        <w:jc w:val="right"/>
        <w:rPr>
          <w:color w:val="000000"/>
          <w:sz w:val="30"/>
          <w:szCs w:val="30"/>
        </w:rPr>
      </w:pPr>
    </w:p>
    <w:p w14:paraId="5BC6FEDA" w14:textId="7C2BE7CE" w:rsidR="00287F52" w:rsidRDefault="00287F52" w:rsidP="00145BAC">
      <w:pPr>
        <w:pStyle w:val="alignright"/>
        <w:shd w:val="clear" w:color="auto" w:fill="FFFFFF"/>
        <w:spacing w:before="0" w:beforeAutospacing="0" w:after="0" w:afterAutospacing="0"/>
        <w:jc w:val="right"/>
        <w:rPr>
          <w:color w:val="000000"/>
          <w:sz w:val="30"/>
          <w:szCs w:val="30"/>
        </w:rPr>
      </w:pPr>
    </w:p>
    <w:p w14:paraId="3B68B848" w14:textId="3B72721B" w:rsidR="00287F52" w:rsidRDefault="00287F52" w:rsidP="00145BAC">
      <w:pPr>
        <w:pStyle w:val="alignright"/>
        <w:shd w:val="clear" w:color="auto" w:fill="FFFFFF"/>
        <w:spacing w:before="0" w:beforeAutospacing="0" w:after="0" w:afterAutospacing="0"/>
        <w:jc w:val="right"/>
        <w:rPr>
          <w:color w:val="000000"/>
          <w:sz w:val="30"/>
          <w:szCs w:val="30"/>
        </w:rPr>
      </w:pPr>
    </w:p>
    <w:p w14:paraId="30904861" w14:textId="2A359186" w:rsidR="00287F52" w:rsidRDefault="00287F52" w:rsidP="00145BAC">
      <w:pPr>
        <w:pStyle w:val="alignright"/>
        <w:shd w:val="clear" w:color="auto" w:fill="FFFFFF"/>
        <w:spacing w:before="0" w:beforeAutospacing="0" w:after="0" w:afterAutospacing="0"/>
        <w:jc w:val="right"/>
        <w:rPr>
          <w:color w:val="000000"/>
          <w:sz w:val="30"/>
          <w:szCs w:val="30"/>
        </w:rPr>
      </w:pPr>
    </w:p>
    <w:p w14:paraId="641C84D0" w14:textId="3520162D" w:rsidR="00287F52" w:rsidRDefault="00287F52" w:rsidP="00145BAC">
      <w:pPr>
        <w:pStyle w:val="alignright"/>
        <w:shd w:val="clear" w:color="auto" w:fill="FFFFFF"/>
        <w:spacing w:before="0" w:beforeAutospacing="0" w:after="0" w:afterAutospacing="0"/>
        <w:jc w:val="right"/>
        <w:rPr>
          <w:color w:val="000000"/>
          <w:sz w:val="30"/>
          <w:szCs w:val="30"/>
        </w:rPr>
      </w:pPr>
    </w:p>
    <w:p w14:paraId="2AFF846E" w14:textId="27883FC3" w:rsidR="00287F52" w:rsidRDefault="00287F52" w:rsidP="00145BAC">
      <w:pPr>
        <w:pStyle w:val="alignright"/>
        <w:shd w:val="clear" w:color="auto" w:fill="FFFFFF"/>
        <w:spacing w:before="0" w:beforeAutospacing="0" w:after="0" w:afterAutospacing="0"/>
        <w:jc w:val="right"/>
        <w:rPr>
          <w:color w:val="000000"/>
          <w:sz w:val="30"/>
          <w:szCs w:val="30"/>
        </w:rPr>
      </w:pPr>
    </w:p>
    <w:p w14:paraId="3102E07A" w14:textId="566A6A7B" w:rsidR="00287F52" w:rsidRDefault="00287F52" w:rsidP="00145BAC">
      <w:pPr>
        <w:pStyle w:val="alignright"/>
        <w:shd w:val="clear" w:color="auto" w:fill="FFFFFF"/>
        <w:spacing w:before="0" w:beforeAutospacing="0" w:after="0" w:afterAutospacing="0"/>
        <w:jc w:val="right"/>
        <w:rPr>
          <w:color w:val="000000"/>
          <w:sz w:val="30"/>
          <w:szCs w:val="30"/>
        </w:rPr>
      </w:pPr>
    </w:p>
    <w:p w14:paraId="4B83D96F" w14:textId="1C394E9E" w:rsidR="00287F52" w:rsidRDefault="00287F52" w:rsidP="00145BAC">
      <w:pPr>
        <w:pStyle w:val="alignright"/>
        <w:shd w:val="clear" w:color="auto" w:fill="FFFFFF"/>
        <w:spacing w:before="0" w:beforeAutospacing="0" w:after="0" w:afterAutospacing="0"/>
        <w:jc w:val="right"/>
        <w:rPr>
          <w:color w:val="000000"/>
          <w:sz w:val="30"/>
          <w:szCs w:val="30"/>
        </w:rPr>
      </w:pPr>
    </w:p>
    <w:p w14:paraId="5D89CE53" w14:textId="0ABD3892" w:rsidR="00287F52" w:rsidRDefault="00287F52" w:rsidP="00145BAC">
      <w:pPr>
        <w:pStyle w:val="alignright"/>
        <w:shd w:val="clear" w:color="auto" w:fill="FFFFFF"/>
        <w:spacing w:before="0" w:beforeAutospacing="0" w:after="0" w:afterAutospacing="0"/>
        <w:jc w:val="right"/>
        <w:rPr>
          <w:color w:val="000000"/>
          <w:sz w:val="30"/>
          <w:szCs w:val="30"/>
        </w:rPr>
      </w:pPr>
    </w:p>
    <w:p w14:paraId="182FFA87" w14:textId="03AADD72" w:rsidR="00287F52" w:rsidRDefault="00287F52" w:rsidP="00145BAC">
      <w:pPr>
        <w:pStyle w:val="alignright"/>
        <w:shd w:val="clear" w:color="auto" w:fill="FFFFFF"/>
        <w:spacing w:before="0" w:beforeAutospacing="0" w:after="0" w:afterAutospacing="0"/>
        <w:jc w:val="right"/>
        <w:rPr>
          <w:color w:val="000000"/>
          <w:sz w:val="30"/>
          <w:szCs w:val="30"/>
        </w:rPr>
      </w:pPr>
    </w:p>
    <w:p w14:paraId="4CFE0E11" w14:textId="496E9018" w:rsidR="00287F52" w:rsidRDefault="00287F52" w:rsidP="00145BAC">
      <w:pPr>
        <w:pStyle w:val="alignright"/>
        <w:shd w:val="clear" w:color="auto" w:fill="FFFFFF"/>
        <w:spacing w:before="0" w:beforeAutospacing="0" w:after="0" w:afterAutospacing="0"/>
        <w:jc w:val="right"/>
        <w:rPr>
          <w:color w:val="000000"/>
          <w:sz w:val="30"/>
          <w:szCs w:val="30"/>
        </w:rPr>
      </w:pPr>
    </w:p>
    <w:p w14:paraId="5E9D300B" w14:textId="4F49111A" w:rsidR="00145BAC" w:rsidRDefault="00145BAC" w:rsidP="00145BAC">
      <w:pPr>
        <w:pStyle w:val="alignright"/>
        <w:shd w:val="clear" w:color="auto" w:fill="FFFFFF"/>
        <w:spacing w:before="0" w:beforeAutospacing="0" w:after="0" w:afterAutospacing="0"/>
        <w:jc w:val="right"/>
        <w:rPr>
          <w:color w:val="000000"/>
          <w:sz w:val="30"/>
          <w:szCs w:val="30"/>
        </w:rPr>
      </w:pPr>
    </w:p>
    <w:p w14:paraId="48F5F2A1" w14:textId="77777777" w:rsidR="00145BAC" w:rsidRPr="00287F52" w:rsidRDefault="00145BAC" w:rsidP="00287F52">
      <w:pPr>
        <w:pStyle w:val="alignright"/>
        <w:shd w:val="clear" w:color="auto" w:fill="FFFFFF"/>
        <w:spacing w:before="210" w:beforeAutospacing="0" w:after="0" w:afterAutospacing="0"/>
        <w:ind w:firstLine="709"/>
        <w:contextualSpacing/>
        <w:jc w:val="right"/>
        <w:rPr>
          <w:color w:val="000000"/>
        </w:rPr>
      </w:pPr>
      <w:r w:rsidRPr="00287F52">
        <w:rPr>
          <w:color w:val="000000"/>
        </w:rPr>
        <w:t>Приложение</w:t>
      </w:r>
    </w:p>
    <w:p w14:paraId="1E69E35B" w14:textId="77777777"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r w:rsidRPr="00287F52">
        <w:rPr>
          <w:color w:val="000000"/>
        </w:rPr>
        <w:t>к постановлению Правительства</w:t>
      </w:r>
    </w:p>
    <w:p w14:paraId="5F43DDDE" w14:textId="77777777"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r w:rsidRPr="00287F52">
        <w:rPr>
          <w:color w:val="000000"/>
        </w:rPr>
        <w:t>Российской Федерации</w:t>
      </w:r>
    </w:p>
    <w:p w14:paraId="49A37640" w14:textId="20F50705" w:rsidR="00145BAC" w:rsidRPr="00287F52" w:rsidRDefault="00145BAC" w:rsidP="00287F52">
      <w:pPr>
        <w:pStyle w:val="alignright"/>
        <w:shd w:val="clear" w:color="auto" w:fill="FFFFFF"/>
        <w:spacing w:before="0" w:beforeAutospacing="0" w:after="0" w:afterAutospacing="0"/>
        <w:ind w:firstLine="709"/>
        <w:contextualSpacing/>
        <w:jc w:val="right"/>
        <w:rPr>
          <w:color w:val="000000"/>
        </w:rPr>
      </w:pPr>
      <w:r w:rsidRPr="00287F52">
        <w:rPr>
          <w:color w:val="000000"/>
        </w:rPr>
        <w:lastRenderedPageBreak/>
        <w:t xml:space="preserve">от 28 июня 2022 г. </w:t>
      </w:r>
      <w:r w:rsidR="00287F52">
        <w:rPr>
          <w:color w:val="000000"/>
        </w:rPr>
        <w:t>№</w:t>
      </w:r>
      <w:r w:rsidRPr="00287F52">
        <w:rPr>
          <w:color w:val="000000"/>
        </w:rPr>
        <w:t xml:space="preserve"> 1148</w:t>
      </w:r>
    </w:p>
    <w:p w14:paraId="1EFC3E9B" w14:textId="77777777" w:rsidR="00145BAC" w:rsidRPr="00287F52" w:rsidRDefault="00145BAC" w:rsidP="00287F52">
      <w:pPr>
        <w:pStyle w:val="aligncenter"/>
        <w:shd w:val="clear" w:color="auto" w:fill="FFFFFF"/>
        <w:spacing w:before="0" w:beforeAutospacing="0" w:after="0" w:afterAutospacing="0" w:line="450" w:lineRule="atLeast"/>
        <w:ind w:firstLine="709"/>
        <w:contextualSpacing/>
        <w:jc w:val="center"/>
        <w:outlineLvl w:val="1"/>
        <w:rPr>
          <w:b/>
          <w:bCs/>
          <w:color w:val="000000"/>
          <w:kern w:val="36"/>
        </w:rPr>
      </w:pPr>
      <w:r w:rsidRPr="00287F52">
        <w:rPr>
          <w:b/>
          <w:bCs/>
          <w:color w:val="000000"/>
          <w:kern w:val="36"/>
        </w:rPr>
        <w:t>МЕТОДИКА</w:t>
      </w:r>
    </w:p>
    <w:p w14:paraId="4DFA937A" w14:textId="77777777" w:rsidR="00145BAC" w:rsidRPr="00287F52" w:rsidRDefault="00145BAC" w:rsidP="00287F52">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r w:rsidRPr="00287F52">
        <w:rPr>
          <w:b/>
          <w:bCs/>
          <w:color w:val="000000"/>
          <w:kern w:val="36"/>
        </w:rPr>
        <w:t>ИЗМЕНЕНИЯ (УВЕЛИЧЕНИЯ) ЦЕНЫ ГОСУДАРСТВЕННОГО КОНТРАКТА,</w:t>
      </w:r>
    </w:p>
    <w:p w14:paraId="20F8A0FD" w14:textId="77777777" w:rsidR="00145BAC" w:rsidRPr="00287F52" w:rsidRDefault="00145BAC" w:rsidP="00287F52">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r w:rsidRPr="00287F52">
        <w:rPr>
          <w:b/>
          <w:bCs/>
          <w:color w:val="000000"/>
          <w:kern w:val="36"/>
        </w:rPr>
        <w:t>ПРЕДМЕТОМ КОТОРОГО ЯВЛЯЮТСЯ РЕМОНТ И (ИЛИ) СОДЕРЖАНИЕ</w:t>
      </w:r>
    </w:p>
    <w:p w14:paraId="7D44D270" w14:textId="77777777" w:rsidR="00145BAC" w:rsidRPr="00287F52" w:rsidRDefault="00145BAC" w:rsidP="00287F52">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r w:rsidRPr="00287F52">
        <w:rPr>
          <w:b/>
          <w:bCs/>
          <w:color w:val="000000"/>
          <w:kern w:val="36"/>
        </w:rPr>
        <w:t>АВТОМОБИЛЬНЫХ ДОРОГ ОБЩЕГО ПОЛЬЗОВАНИЯ</w:t>
      </w:r>
    </w:p>
    <w:p w14:paraId="544A0C4C" w14:textId="4C86C165" w:rsidR="00145BAC" w:rsidRDefault="00145BAC" w:rsidP="00287F52">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r w:rsidRPr="00287F52">
        <w:rPr>
          <w:b/>
          <w:bCs/>
          <w:color w:val="000000"/>
          <w:kern w:val="36"/>
        </w:rPr>
        <w:t>ФЕДЕРАЛЬНОГО ЗНАЧЕНИЯ</w:t>
      </w:r>
    </w:p>
    <w:p w14:paraId="68B6231E" w14:textId="77777777" w:rsidR="00287F52" w:rsidRPr="00287F52" w:rsidRDefault="00287F52" w:rsidP="00287F52">
      <w:pPr>
        <w:pStyle w:val="aligncenter"/>
        <w:shd w:val="clear" w:color="auto" w:fill="FFFFFF"/>
        <w:spacing w:before="210" w:beforeAutospacing="0" w:after="0" w:afterAutospacing="0" w:line="450" w:lineRule="atLeast"/>
        <w:ind w:firstLine="709"/>
        <w:contextualSpacing/>
        <w:jc w:val="center"/>
        <w:outlineLvl w:val="1"/>
        <w:rPr>
          <w:b/>
          <w:bCs/>
          <w:color w:val="000000"/>
          <w:kern w:val="36"/>
        </w:rPr>
      </w:pPr>
    </w:p>
    <w:p w14:paraId="37C691F5" w14:textId="77777777" w:rsidR="00145BAC" w:rsidRPr="00287F52" w:rsidRDefault="00145BAC" w:rsidP="00287F52">
      <w:pPr>
        <w:pStyle w:val="a4"/>
        <w:shd w:val="clear" w:color="auto" w:fill="FFFFFF"/>
        <w:spacing w:before="0" w:beforeAutospacing="0" w:after="0" w:afterAutospacing="0"/>
        <w:ind w:firstLine="709"/>
        <w:contextualSpacing/>
        <w:jc w:val="both"/>
        <w:rPr>
          <w:color w:val="000000"/>
        </w:rPr>
      </w:pPr>
      <w:r w:rsidRPr="00287F52">
        <w:rPr>
          <w:color w:val="000000"/>
        </w:rPr>
        <w:t>1. 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14:paraId="57DA2F61"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14:paraId="68589219" w14:textId="0EE2240C"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3. Настоящая методика применяется к контракту, начальная (максимальная) цена которого сформирована в соответствии с пунктом 1 статьи 22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14:paraId="28E9BE92"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14:paraId="2A40B9B0"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5. Если цена контракта определена проектно-сметным методом, то расчет формируется на основании имеющихся смет следующим образом:</w:t>
      </w:r>
    </w:p>
    <w:p w14:paraId="102055D4" w14:textId="765F6742"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пунктами 6 - 8 настоящей методики;</w:t>
      </w:r>
    </w:p>
    <w:p w14:paraId="43896508" w14:textId="3C6FA535"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б) осуществляется расчет коэффициента корректировки цены контракта (далее - коэффициент) в порядке, предусмотренном пунктами 9 - 12 настоящей методики;</w:t>
      </w:r>
    </w:p>
    <w:p w14:paraId="08F5B488"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287F52">
        <w:rPr>
          <w:color w:val="000000"/>
          <w:vertAlign w:val="subscript"/>
        </w:rPr>
        <w:t>НОВ</w:t>
      </w:r>
      <w:r w:rsidRPr="00287F52">
        <w:rPr>
          <w:color w:val="000000"/>
        </w:rPr>
        <w:t>) по формуле 1:</w:t>
      </w:r>
    </w:p>
    <w:p w14:paraId="551B89F7" w14:textId="77777777" w:rsidR="00145BAC" w:rsidRPr="00287F52" w:rsidRDefault="00145BAC" w:rsidP="00287F52">
      <w:pPr>
        <w:pStyle w:val="aligncenter"/>
        <w:shd w:val="clear" w:color="auto" w:fill="FFFFFF"/>
        <w:spacing w:before="0" w:beforeAutospacing="0" w:after="0" w:afterAutospacing="0"/>
        <w:ind w:firstLine="709"/>
        <w:contextualSpacing/>
        <w:jc w:val="both"/>
        <w:rPr>
          <w:color w:val="000000"/>
        </w:rPr>
      </w:pPr>
      <w:r w:rsidRPr="00287F52">
        <w:rPr>
          <w:color w:val="000000"/>
        </w:rPr>
        <w:t>С</w:t>
      </w:r>
      <w:r w:rsidRPr="00287F52">
        <w:rPr>
          <w:color w:val="000000"/>
          <w:vertAlign w:val="subscript"/>
        </w:rPr>
        <w:t>НОВ</w:t>
      </w:r>
      <w:r w:rsidRPr="00287F52">
        <w:rPr>
          <w:color w:val="000000"/>
        </w:rPr>
        <w:t> = С</w:t>
      </w:r>
      <w:r w:rsidRPr="00287F52">
        <w:rPr>
          <w:color w:val="000000"/>
          <w:vertAlign w:val="subscript"/>
        </w:rPr>
        <w:t>ВЫП</w:t>
      </w:r>
      <w:r w:rsidRPr="00287F52">
        <w:rPr>
          <w:color w:val="000000"/>
        </w:rPr>
        <w:t> + (С</w:t>
      </w:r>
      <w:r w:rsidRPr="00287F52">
        <w:rPr>
          <w:color w:val="000000"/>
          <w:vertAlign w:val="subscript"/>
        </w:rPr>
        <w:t>СУЩ</w:t>
      </w:r>
      <w:r w:rsidRPr="00287F52">
        <w:rPr>
          <w:color w:val="000000"/>
        </w:rPr>
        <w:t> - С</w:t>
      </w:r>
      <w:r w:rsidRPr="00287F52">
        <w:rPr>
          <w:color w:val="000000"/>
          <w:vertAlign w:val="subscript"/>
        </w:rPr>
        <w:t>ВЫП</w:t>
      </w:r>
      <w:r w:rsidRPr="00287F52">
        <w:rPr>
          <w:color w:val="000000"/>
        </w:rPr>
        <w:t> - С</w:t>
      </w:r>
      <w:r w:rsidRPr="00287F52">
        <w:rPr>
          <w:color w:val="000000"/>
          <w:vertAlign w:val="subscript"/>
        </w:rPr>
        <w:t>ПРН</w:t>
      </w:r>
      <w:r w:rsidRPr="00287F52">
        <w:rPr>
          <w:color w:val="000000"/>
        </w:rPr>
        <w:t>) x К</w:t>
      </w:r>
      <w:r w:rsidRPr="00287F52">
        <w:rPr>
          <w:color w:val="000000"/>
          <w:vertAlign w:val="subscript"/>
        </w:rPr>
        <w:t>КР</w:t>
      </w:r>
      <w:r w:rsidRPr="00287F52">
        <w:rPr>
          <w:color w:val="000000"/>
        </w:rPr>
        <w:t> + С</w:t>
      </w:r>
      <w:r w:rsidRPr="00287F52">
        <w:rPr>
          <w:color w:val="000000"/>
          <w:vertAlign w:val="subscript"/>
        </w:rPr>
        <w:t>КОР</w:t>
      </w:r>
      <w:r w:rsidRPr="00287F52">
        <w:rPr>
          <w:color w:val="000000"/>
        </w:rPr>
        <w:t>, (1)</w:t>
      </w:r>
    </w:p>
    <w:p w14:paraId="1C88AA4A" w14:textId="77777777" w:rsidR="00145BAC" w:rsidRPr="00287F52" w:rsidRDefault="00145BAC" w:rsidP="00287F52">
      <w:pPr>
        <w:pStyle w:val="a4"/>
        <w:shd w:val="clear" w:color="auto" w:fill="FFFFFF"/>
        <w:spacing w:before="0" w:beforeAutospacing="0" w:after="0" w:afterAutospacing="0"/>
        <w:ind w:firstLine="709"/>
        <w:contextualSpacing/>
        <w:jc w:val="both"/>
        <w:rPr>
          <w:color w:val="000000"/>
        </w:rPr>
      </w:pPr>
      <w:r w:rsidRPr="00287F52">
        <w:rPr>
          <w:color w:val="000000"/>
        </w:rPr>
        <w:t>где:</w:t>
      </w:r>
    </w:p>
    <w:p w14:paraId="41F99F64"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С</w:t>
      </w:r>
      <w:r w:rsidRPr="00287F52">
        <w:rPr>
          <w:color w:val="000000"/>
          <w:vertAlign w:val="subscript"/>
        </w:rPr>
        <w:t>ВЫП</w:t>
      </w:r>
      <w:r w:rsidRPr="00287F52">
        <w:rPr>
          <w:color w:val="000000"/>
        </w:rPr>
        <w:t> - стоимость выполненных работ, оплаченных заказчиком в период со дня начала действия контракта до дня выполнения расчета;</w:t>
      </w:r>
    </w:p>
    <w:p w14:paraId="2064963F"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С</w:t>
      </w:r>
      <w:r w:rsidRPr="00287F52">
        <w:rPr>
          <w:color w:val="000000"/>
          <w:vertAlign w:val="subscript"/>
        </w:rPr>
        <w:t>СУЩ</w:t>
      </w:r>
      <w:r w:rsidRPr="00287F52">
        <w:rPr>
          <w:color w:val="000000"/>
        </w:rPr>
        <w:t> - стоимость работ по действующей смете контракта;</w:t>
      </w:r>
    </w:p>
    <w:p w14:paraId="4DE4BD5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С</w:t>
      </w:r>
      <w:r w:rsidRPr="00287F52">
        <w:rPr>
          <w:color w:val="000000"/>
          <w:vertAlign w:val="subscript"/>
        </w:rPr>
        <w:t>ПРН</w:t>
      </w:r>
      <w:r w:rsidRPr="00287F52">
        <w:rPr>
          <w:color w:val="000000"/>
        </w:rPr>
        <w:t>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14:paraId="5B406CE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К</w:t>
      </w:r>
      <w:r w:rsidRPr="00287F52">
        <w:rPr>
          <w:color w:val="000000"/>
          <w:vertAlign w:val="subscript"/>
        </w:rPr>
        <w:t>КР</w:t>
      </w:r>
      <w:r w:rsidRPr="00287F52">
        <w:rPr>
          <w:color w:val="000000"/>
        </w:rPr>
        <w:t xml:space="preserve"> - коэффициент </w:t>
      </w:r>
      <w:proofErr w:type="gramStart"/>
      <w:r w:rsidRPr="00287F52">
        <w:rPr>
          <w:color w:val="000000"/>
        </w:rPr>
        <w:t>К</w:t>
      </w:r>
      <w:r w:rsidRPr="00287F52">
        <w:rPr>
          <w:color w:val="000000"/>
          <w:vertAlign w:val="subscript"/>
        </w:rPr>
        <w:t>КР(</w:t>
      </w:r>
      <w:proofErr w:type="gramEnd"/>
      <w:r w:rsidRPr="00287F52">
        <w:rPr>
          <w:color w:val="000000"/>
          <w:vertAlign w:val="subscript"/>
        </w:rPr>
        <w:t>1)</w:t>
      </w:r>
      <w:r w:rsidRPr="00287F52">
        <w:rPr>
          <w:color w:val="000000"/>
        </w:rPr>
        <w:t> или К</w:t>
      </w:r>
      <w:r w:rsidRPr="00287F52">
        <w:rPr>
          <w:color w:val="000000"/>
          <w:vertAlign w:val="subscript"/>
        </w:rPr>
        <w:t>КР(2)</w:t>
      </w:r>
      <w:r w:rsidRPr="00287F52">
        <w:rPr>
          <w:color w:val="000000"/>
        </w:rPr>
        <w:t>, рассчитанный по формуле 3 или 4 настоящей методики;</w:t>
      </w:r>
    </w:p>
    <w:p w14:paraId="519E9988"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lastRenderedPageBreak/>
        <w:t>С</w:t>
      </w:r>
      <w:r w:rsidRPr="00287F52">
        <w:rPr>
          <w:color w:val="000000"/>
          <w:vertAlign w:val="subscript"/>
        </w:rPr>
        <w:t>КОР</w:t>
      </w:r>
      <w:r w:rsidRPr="00287F52">
        <w:rPr>
          <w:color w:val="000000"/>
        </w:rPr>
        <w:t>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
    <w:p w14:paraId="4C74D869" w14:textId="77777777" w:rsidR="00145BAC" w:rsidRPr="00287F52" w:rsidRDefault="00145BAC" w:rsidP="00287F52">
      <w:pPr>
        <w:pStyle w:val="aligncenter"/>
        <w:shd w:val="clear" w:color="auto" w:fill="FFFFFF"/>
        <w:spacing w:before="0" w:beforeAutospacing="0" w:after="0" w:afterAutospacing="0"/>
        <w:ind w:firstLine="709"/>
        <w:contextualSpacing/>
        <w:jc w:val="both"/>
        <w:rPr>
          <w:color w:val="000000"/>
        </w:rPr>
      </w:pPr>
      <w:r w:rsidRPr="00287F52">
        <w:rPr>
          <w:color w:val="000000"/>
        </w:rPr>
        <w:t>С</w:t>
      </w:r>
      <w:r w:rsidRPr="00287F52">
        <w:rPr>
          <w:color w:val="000000"/>
          <w:vertAlign w:val="subscript"/>
        </w:rPr>
        <w:t>КОР</w:t>
      </w:r>
      <w:r w:rsidRPr="00287F52">
        <w:rPr>
          <w:color w:val="000000"/>
        </w:rPr>
        <w:t> = Ц</w:t>
      </w:r>
      <w:r w:rsidRPr="00287F52">
        <w:rPr>
          <w:color w:val="000000"/>
          <w:vertAlign w:val="subscript"/>
        </w:rPr>
        <w:t>ЕД</w:t>
      </w:r>
      <w:r w:rsidRPr="00287F52">
        <w:rPr>
          <w:color w:val="000000"/>
        </w:rPr>
        <w:t> x К</w:t>
      </w:r>
      <w:r w:rsidRPr="00287F52">
        <w:rPr>
          <w:color w:val="000000"/>
          <w:vertAlign w:val="subscript"/>
        </w:rPr>
        <w:t>КР</w:t>
      </w:r>
      <w:r w:rsidRPr="00287F52">
        <w:rPr>
          <w:color w:val="000000"/>
        </w:rPr>
        <w:t> x V</w:t>
      </w:r>
      <w:r w:rsidRPr="00287F52">
        <w:rPr>
          <w:color w:val="000000"/>
          <w:vertAlign w:val="subscript"/>
        </w:rPr>
        <w:t>ВЫП</w:t>
      </w:r>
      <w:r w:rsidRPr="00287F52">
        <w:rPr>
          <w:color w:val="000000"/>
        </w:rPr>
        <w:t>, (2)</w:t>
      </w:r>
    </w:p>
    <w:p w14:paraId="399F2476" w14:textId="77777777" w:rsidR="00145BAC" w:rsidRPr="00287F52" w:rsidRDefault="00145BAC" w:rsidP="00287F52">
      <w:pPr>
        <w:pStyle w:val="a4"/>
        <w:shd w:val="clear" w:color="auto" w:fill="FFFFFF"/>
        <w:spacing w:before="0" w:beforeAutospacing="0" w:after="0" w:afterAutospacing="0"/>
        <w:ind w:firstLine="709"/>
        <w:contextualSpacing/>
        <w:jc w:val="both"/>
        <w:rPr>
          <w:color w:val="000000"/>
        </w:rPr>
      </w:pPr>
      <w:r w:rsidRPr="00287F52">
        <w:rPr>
          <w:color w:val="000000"/>
        </w:rPr>
        <w:t>где:</w:t>
      </w:r>
    </w:p>
    <w:p w14:paraId="2946A76C"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Ц</w:t>
      </w:r>
      <w:r w:rsidRPr="00287F52">
        <w:rPr>
          <w:color w:val="000000"/>
          <w:vertAlign w:val="subscript"/>
        </w:rPr>
        <w:t>ЕД</w:t>
      </w:r>
      <w:r w:rsidRPr="00287F52">
        <w:rPr>
          <w:color w:val="000000"/>
        </w:rPr>
        <w:t> - цена единицы i-</w:t>
      </w:r>
      <w:proofErr w:type="spellStart"/>
      <w:r w:rsidRPr="00287F52">
        <w:rPr>
          <w:color w:val="000000"/>
        </w:rPr>
        <w:t>го</w:t>
      </w:r>
      <w:proofErr w:type="spellEnd"/>
      <w:r w:rsidRPr="00287F52">
        <w:rPr>
          <w:color w:val="000000"/>
        </w:rPr>
        <w:t xml:space="preserve"> конструктивного решения (элемента) и (или) комплекса (вида) работ, принятая в корректируемом акте сдачи-приемки принятых работ;</w:t>
      </w:r>
    </w:p>
    <w:p w14:paraId="1691AAEF"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V</w:t>
      </w:r>
      <w:r w:rsidRPr="00287F52">
        <w:rPr>
          <w:color w:val="000000"/>
          <w:vertAlign w:val="subscript"/>
        </w:rPr>
        <w:t>ВЫП</w:t>
      </w:r>
      <w:r w:rsidRPr="00287F52">
        <w:rPr>
          <w:color w:val="000000"/>
        </w:rPr>
        <w:t> - объем выполненных работ, принятых заказчиком и подлежащих оплате по i-</w:t>
      </w:r>
      <w:proofErr w:type="spellStart"/>
      <w:r w:rsidRPr="00287F52">
        <w:rPr>
          <w:color w:val="000000"/>
        </w:rPr>
        <w:t>му</w:t>
      </w:r>
      <w:proofErr w:type="spellEnd"/>
      <w:r w:rsidRPr="00287F52">
        <w:rPr>
          <w:color w:val="000000"/>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14:paraId="6D575E59"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14:paraId="4BCB8021"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14:paraId="58FF5F4F"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 на день выполнения такого расчета и размещенных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14:paraId="57F83410"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14:paraId="67F225E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
    <w:p w14:paraId="4FA4CB7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
    <w:p w14:paraId="001E3EB8" w14:textId="43FC5D16"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w:t>
      </w:r>
      <w:r w:rsidRPr="00287F52">
        <w:rPr>
          <w:color w:val="000000"/>
        </w:rPr>
        <w:lastRenderedPageBreak/>
        <w:t>включены в реестр, с учетом условий, указанных в абзацах втором - четвертом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 На основании полученных значений индекса фактической инфляции выполняется расчет.</w:t>
      </w:r>
    </w:p>
    <w:p w14:paraId="2358CBF2"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7. 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
    <w:p w14:paraId="2094D81C"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14:paraId="09338031"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На основании полученного значения индекса фактической инфляции выполняется расчет.</w:t>
      </w:r>
    </w:p>
    <w:p w14:paraId="17C99F5C"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14:paraId="2CF351CF"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вариант 1, предусматривающий, что цены на ресурсы, принятые в сметах на основании фактических текущих цен поставщиков, изменение стоимости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14:paraId="0D962D52"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использование которых необходимо для последующего выполнения работ, предусмотренных контрактом, и ценовые показатели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14:paraId="55556254"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 xml:space="preserve">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w:t>
      </w:r>
      <w:r w:rsidRPr="00287F52">
        <w:rPr>
          <w:color w:val="000000"/>
        </w:rPr>
        <w:lastRenderedPageBreak/>
        <w:t>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14:paraId="47AA0B8E"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14:paraId="618A14A9"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14:paraId="09477B94"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 контракта), то коэффициент (К</w:t>
      </w:r>
      <w:r w:rsidRPr="00287F52">
        <w:rPr>
          <w:color w:val="000000"/>
          <w:vertAlign w:val="subscript"/>
        </w:rPr>
        <w:t>КР(1)</w:t>
      </w:r>
      <w:r w:rsidRPr="00287F52">
        <w:rPr>
          <w:color w:val="000000"/>
        </w:rPr>
        <w:t>) рассчитывается по формуле 3:</w:t>
      </w:r>
    </w:p>
    <w:p w14:paraId="165C8AA0" w14:textId="768B02ED" w:rsidR="00145BAC" w:rsidRPr="00287F52" w:rsidRDefault="00145BAC" w:rsidP="00287F52">
      <w:pPr>
        <w:pStyle w:val="a4"/>
        <w:shd w:val="clear" w:color="auto" w:fill="FFFFFF"/>
        <w:spacing w:before="0" w:beforeAutospacing="0" w:after="0" w:afterAutospacing="0"/>
        <w:ind w:firstLine="709"/>
        <w:contextualSpacing/>
        <w:jc w:val="both"/>
        <w:rPr>
          <w:color w:val="000000"/>
        </w:rPr>
      </w:pPr>
      <w:r w:rsidRPr="00287F52">
        <w:rPr>
          <w:noProof/>
          <w:color w:val="000000"/>
        </w:rPr>
        <w:drawing>
          <wp:inline distT="0" distB="0" distL="0" distR="0" wp14:anchorId="753F8ADF" wp14:editId="08711DA5">
            <wp:extent cx="2085975" cy="371475"/>
            <wp:effectExtent l="0" t="0" r="9525" b="9525"/>
            <wp:docPr id="2" name="Рисунок 2" descr="C:\Users\Professional\AppData\Local\Microsoft\Windows\INetCache\Content.MSO\5AF524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AppData\Local\Microsoft\Windows\INetCache\Content.MSO\5AF5248E.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371475"/>
                    </a:xfrm>
                    <a:prstGeom prst="rect">
                      <a:avLst/>
                    </a:prstGeom>
                    <a:noFill/>
                    <a:ln>
                      <a:noFill/>
                    </a:ln>
                  </pic:spPr>
                </pic:pic>
              </a:graphicData>
            </a:graphic>
          </wp:inline>
        </w:drawing>
      </w:r>
      <w:r w:rsidRPr="00287F52">
        <w:rPr>
          <w:color w:val="000000"/>
        </w:rPr>
        <w:t>где:</w:t>
      </w:r>
    </w:p>
    <w:p w14:paraId="773ED5E4" w14:textId="32597B12"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Ц</w:t>
      </w:r>
      <w:r w:rsidRPr="00287F52">
        <w:rPr>
          <w:color w:val="000000"/>
          <w:vertAlign w:val="subscript"/>
        </w:rPr>
        <w:t>НОВ1</w:t>
      </w:r>
      <w:r w:rsidRPr="00287F52">
        <w:rPr>
          <w:color w:val="000000"/>
        </w:rPr>
        <w:t> - новая сметная стоимость работ, определенная в соответствии с пунктом 6 настоящей методики;</w:t>
      </w:r>
    </w:p>
    <w:p w14:paraId="40A08DC1"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С</w:t>
      </w:r>
      <w:r w:rsidRPr="00287F52">
        <w:rPr>
          <w:color w:val="000000"/>
          <w:vertAlign w:val="subscript"/>
        </w:rPr>
        <w:t>БАЗ</w:t>
      </w:r>
      <w:r w:rsidRPr="00287F52">
        <w:rPr>
          <w:color w:val="000000"/>
        </w:rPr>
        <w:t> - сметная стоимость работ, под 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14:paraId="6A6AFDC0"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И - ранее использованный при определении цены контракта индекс изменения сметной стоимости для соответствующего периода;</w:t>
      </w:r>
    </w:p>
    <w:p w14:paraId="2595AA62"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И</w:t>
      </w:r>
      <w:r w:rsidRPr="00287F52">
        <w:rPr>
          <w:color w:val="000000"/>
          <w:vertAlign w:val="subscript"/>
        </w:rPr>
        <w:t>ПРОГ</w:t>
      </w:r>
      <w:r w:rsidRPr="00287F52">
        <w:rPr>
          <w:color w:val="000000"/>
        </w:rPr>
        <w:t> - ранее использованный при определении цены контракта индекс прогнозной инфляции.</w:t>
      </w:r>
    </w:p>
    <w:p w14:paraId="79B64033"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10. Если смета контракта была сформирована с использованием отраслевых сметных нормативов, то коэффициент (</w:t>
      </w:r>
      <w:proofErr w:type="gramStart"/>
      <w:r w:rsidRPr="00287F52">
        <w:rPr>
          <w:color w:val="000000"/>
        </w:rPr>
        <w:t>К</w:t>
      </w:r>
      <w:r w:rsidRPr="00287F52">
        <w:rPr>
          <w:color w:val="000000"/>
          <w:vertAlign w:val="subscript"/>
        </w:rPr>
        <w:t>КР(</w:t>
      </w:r>
      <w:proofErr w:type="gramEnd"/>
      <w:r w:rsidRPr="00287F52">
        <w:rPr>
          <w:color w:val="000000"/>
          <w:vertAlign w:val="subscript"/>
        </w:rPr>
        <w:t>2)</w:t>
      </w:r>
      <w:r w:rsidRPr="00287F52">
        <w:rPr>
          <w:color w:val="000000"/>
        </w:rPr>
        <w:t>) определяется по формуле 4:</w:t>
      </w:r>
    </w:p>
    <w:p w14:paraId="5FC9D31F" w14:textId="198324F3" w:rsidR="00145BAC" w:rsidRPr="00287F52" w:rsidRDefault="00145BAC" w:rsidP="00287F52">
      <w:pPr>
        <w:pStyle w:val="a4"/>
        <w:shd w:val="clear" w:color="auto" w:fill="FFFFFF"/>
        <w:spacing w:before="0" w:beforeAutospacing="0" w:after="0" w:afterAutospacing="0"/>
        <w:ind w:firstLine="709"/>
        <w:contextualSpacing/>
        <w:jc w:val="both"/>
        <w:rPr>
          <w:color w:val="000000"/>
        </w:rPr>
      </w:pPr>
      <w:r w:rsidRPr="00287F52">
        <w:rPr>
          <w:noProof/>
          <w:color w:val="000000"/>
        </w:rPr>
        <w:drawing>
          <wp:inline distT="0" distB="0" distL="0" distR="0" wp14:anchorId="21BF74F0" wp14:editId="4372786F">
            <wp:extent cx="2200275" cy="371475"/>
            <wp:effectExtent l="0" t="0" r="9525" b="9525"/>
            <wp:docPr id="1" name="Рисунок 1" descr="C:\Users\Professional\AppData\Local\Microsoft\Windows\INetCache\Content.MSO\E6218F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essional\AppData\Local\Microsoft\Windows\INetCache\Content.MSO\E6218FC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371475"/>
                    </a:xfrm>
                    <a:prstGeom prst="rect">
                      <a:avLst/>
                    </a:prstGeom>
                    <a:noFill/>
                    <a:ln>
                      <a:noFill/>
                    </a:ln>
                  </pic:spPr>
                </pic:pic>
              </a:graphicData>
            </a:graphic>
          </wp:inline>
        </w:drawing>
      </w:r>
      <w:r w:rsidRPr="00287F52">
        <w:rPr>
          <w:color w:val="000000"/>
        </w:rPr>
        <w:t>где:</w:t>
      </w:r>
    </w:p>
    <w:p w14:paraId="5CB529FF" w14:textId="5C37551E"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Ц</w:t>
      </w:r>
      <w:r w:rsidRPr="00287F52">
        <w:rPr>
          <w:color w:val="000000"/>
          <w:vertAlign w:val="subscript"/>
        </w:rPr>
        <w:t>НОВ2</w:t>
      </w:r>
      <w:r w:rsidRPr="00287F52">
        <w:rPr>
          <w:color w:val="000000"/>
        </w:rPr>
        <w:t> - новая сметная стоимость работ, определенная в соответствии с пунктом 7 настоящей методики;</w:t>
      </w:r>
    </w:p>
    <w:p w14:paraId="2D18FE65"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Ц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14:paraId="32E42B9A"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lastRenderedPageBreak/>
        <w:t>И</w:t>
      </w:r>
      <w:r w:rsidRPr="00287F52">
        <w:rPr>
          <w:color w:val="000000"/>
          <w:vertAlign w:val="subscript"/>
        </w:rPr>
        <w:t>ФАКТ</w:t>
      </w:r>
      <w:r w:rsidRPr="00287F52">
        <w:rPr>
          <w:color w:val="000000"/>
        </w:rPr>
        <w:t> - ранее использованный при определении цены контракта индекс фактической инфляции для соответствующего периода;</w:t>
      </w:r>
    </w:p>
    <w:p w14:paraId="766994A6"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И</w:t>
      </w:r>
      <w:r w:rsidRPr="00287F52">
        <w:rPr>
          <w:color w:val="000000"/>
          <w:vertAlign w:val="subscript"/>
        </w:rPr>
        <w:t>ПРОГ</w:t>
      </w:r>
      <w:r w:rsidRPr="00287F52">
        <w:rPr>
          <w:color w:val="000000"/>
        </w:rPr>
        <w:t> - ранее использованный при определении цены контракта индекс прогнозной инфляции.</w:t>
      </w:r>
    </w:p>
    <w:p w14:paraId="4B789F1D"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14:paraId="6D7CEA48"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14:paraId="6C34C8AF"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13. Для контрактов, цена которых определена методом сопоставимых рыночных цен, расчет формируется следующим образом:</w:t>
      </w:r>
    </w:p>
    <w:p w14:paraId="4003DD95"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а) на остаток стоимости непринятых работ по контракту формируется смета в уровне цен на день выполнения расчета в следующем порядке:</w:t>
      </w:r>
    </w:p>
    <w:p w14:paraId="6F586848"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14:paraId="2DA5731D"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14:paraId="3F3DFB2C"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14:paraId="47D9A671" w14:textId="2CDBC1F8"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б) коэффициент рассчитывается как отношение стоимости сметы, сформированной в соответствии с подпунктом "а" настоящего пункта, к остатку стоимости непринятых работ по контракту;</w:t>
      </w:r>
    </w:p>
    <w:p w14:paraId="03D326A1" w14:textId="77777777"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в) полученный коэффициент применяется к остатку стоимости непринятых работ по контракту;</w:t>
      </w:r>
    </w:p>
    <w:p w14:paraId="567D9F57" w14:textId="60114C6C" w:rsidR="00145BAC" w:rsidRPr="00287F52" w:rsidRDefault="00145BAC" w:rsidP="00287F52">
      <w:pPr>
        <w:pStyle w:val="a4"/>
        <w:shd w:val="clear" w:color="auto" w:fill="FFFFFF"/>
        <w:spacing w:before="210" w:beforeAutospacing="0" w:after="0" w:afterAutospacing="0"/>
        <w:ind w:firstLine="709"/>
        <w:contextualSpacing/>
        <w:jc w:val="both"/>
        <w:rPr>
          <w:color w:val="000000"/>
        </w:rPr>
      </w:pPr>
      <w:r w:rsidRPr="00287F52">
        <w:rPr>
          <w:color w:val="000000"/>
        </w:rPr>
        <w:t>г) смета, сформированная в соответствии с подпунктом "а" настоящего пункта, используется только для расчета коэффициента.</w:t>
      </w:r>
    </w:p>
    <w:p w14:paraId="3D1ECDD2" w14:textId="77777777"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5B2CD362" w14:textId="61B64B90"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297DC1E9" w14:textId="5884BF04"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77A0DF35" w14:textId="719FDD87"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1D0265D4" w14:textId="00092B25"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7AC8D599" w14:textId="05B74067"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622E6D3B" w14:textId="77777777" w:rsidR="00145BAC" w:rsidRPr="00287F52" w:rsidRDefault="00145BAC" w:rsidP="00287F52">
      <w:pPr>
        <w:pStyle w:val="alignright"/>
        <w:shd w:val="clear" w:color="auto" w:fill="FFFFFF"/>
        <w:spacing w:before="0" w:beforeAutospacing="0" w:after="0" w:afterAutospacing="0"/>
        <w:ind w:firstLine="709"/>
        <w:contextualSpacing/>
        <w:jc w:val="both"/>
        <w:rPr>
          <w:color w:val="000000"/>
        </w:rPr>
      </w:pPr>
    </w:p>
    <w:p w14:paraId="50FE02B0" w14:textId="77777777" w:rsidR="006D32F1" w:rsidRPr="00287F52" w:rsidRDefault="006D32F1" w:rsidP="00287F52">
      <w:pPr>
        <w:ind w:firstLine="709"/>
        <w:contextualSpacing/>
        <w:jc w:val="both"/>
        <w:rPr>
          <w:rFonts w:ascii="Times New Roman" w:hAnsi="Times New Roman" w:cs="Times New Roman"/>
          <w:color w:val="000000" w:themeColor="text1"/>
          <w:sz w:val="24"/>
          <w:szCs w:val="24"/>
        </w:rPr>
      </w:pPr>
    </w:p>
    <w:sectPr w:rsidR="006D32F1" w:rsidRPr="0028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0241AD"/>
    <w:rsid w:val="00145BAC"/>
    <w:rsid w:val="00287F52"/>
    <w:rsid w:val="00544CE9"/>
    <w:rsid w:val="006D32F1"/>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79755">
      <w:bodyDiv w:val="1"/>
      <w:marLeft w:val="0"/>
      <w:marRight w:val="0"/>
      <w:marTop w:val="0"/>
      <w:marBottom w:val="0"/>
      <w:divBdr>
        <w:top w:val="none" w:sz="0" w:space="0" w:color="auto"/>
        <w:left w:val="none" w:sz="0" w:space="0" w:color="auto"/>
        <w:bottom w:val="none" w:sz="0" w:space="0" w:color="auto"/>
        <w:right w:val="none" w:sz="0" w:space="0" w:color="auto"/>
      </w:divBdr>
      <w:divsChild>
        <w:div w:id="2069063401">
          <w:marLeft w:val="0"/>
          <w:marRight w:val="0"/>
          <w:marTop w:val="0"/>
          <w:marBottom w:val="0"/>
          <w:divBdr>
            <w:top w:val="none" w:sz="0" w:space="0" w:color="auto"/>
            <w:left w:val="none" w:sz="0" w:space="0" w:color="auto"/>
            <w:bottom w:val="none" w:sz="0" w:space="0" w:color="auto"/>
            <w:right w:val="none" w:sz="0" w:space="0" w:color="auto"/>
          </w:divBdr>
        </w:div>
      </w:divsChild>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550460214">
      <w:bodyDiv w:val="1"/>
      <w:marLeft w:val="0"/>
      <w:marRight w:val="0"/>
      <w:marTop w:val="0"/>
      <w:marBottom w:val="0"/>
      <w:divBdr>
        <w:top w:val="none" w:sz="0" w:space="0" w:color="auto"/>
        <w:left w:val="none" w:sz="0" w:space="0" w:color="auto"/>
        <w:bottom w:val="none" w:sz="0" w:space="0" w:color="auto"/>
        <w:right w:val="none" w:sz="0" w:space="0" w:color="auto"/>
      </w:divBdr>
    </w:div>
    <w:div w:id="1892770882">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3560</Words>
  <Characters>20293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4</cp:revision>
  <dcterms:created xsi:type="dcterms:W3CDTF">2022-07-01T04:48:00Z</dcterms:created>
  <dcterms:modified xsi:type="dcterms:W3CDTF">2022-07-01T04:55:00Z</dcterms:modified>
</cp:coreProperties>
</file>