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1205" w:firstLineChars="500"/>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 xml:space="preserve">Постановление Правительства РФ от 19 апреля 2023 г. </w:t>
      </w:r>
      <w:r>
        <w:rPr>
          <w:rFonts w:hint="default" w:ascii="Times New Roman" w:hAnsi="Times New Roman" w:cs="Times New Roman"/>
          <w:b/>
          <w:bCs/>
          <w:color w:val="auto"/>
          <w:sz w:val="24"/>
          <w:szCs w:val="24"/>
          <w:lang w:val="ru-RU"/>
        </w:rPr>
        <w:t>№</w:t>
      </w:r>
      <w:bookmarkStart w:id="0" w:name="_GoBack"/>
      <w:bookmarkEnd w:id="0"/>
      <w:r>
        <w:rPr>
          <w:rFonts w:hint="default" w:ascii="Times New Roman" w:hAnsi="Times New Roman" w:cs="Times New Roman"/>
          <w:b/>
          <w:bCs/>
          <w:color w:val="auto"/>
          <w:sz w:val="24"/>
          <w:szCs w:val="24"/>
        </w:rPr>
        <w:t xml:space="preserve"> 620</w:t>
      </w:r>
    </w:p>
    <w:p>
      <w:pPr>
        <w:ind w:left="0" w:leftChars="0" w:firstLine="1205" w:firstLineChars="500"/>
        <w:jc w:val="center"/>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"Об утверждении особенностей определения начальной (максимальной) цены контракта, предметом которого является выполнение работ по строительству, реконструкции, капитальному ремонту объектов капитального строительства, расположенных на территории Донецкой Народной Республики, Луганской Народной Республики, Запорожской области или Херсонской области, цены такого контракта, заключаемого с единственным поставщиком (подрядчиком, исполнителем), а также особенностей приемки и оплаты указанных работ"</w:t>
      </w:r>
    </w:p>
    <w:p>
      <w:pPr>
        <w:ind w:left="0" w:leftChars="0" w:firstLine="1200" w:firstLineChars="500"/>
        <w:jc w:val="both"/>
        <w:rPr>
          <w:rFonts w:hint="default" w:ascii="Times New Roman" w:hAnsi="Times New Roman" w:cs="Times New Roman"/>
          <w:color w:val="auto"/>
          <w:sz w:val="24"/>
          <w:szCs w:val="24"/>
        </w:rPr>
      </w:pPr>
    </w:p>
    <w:p>
      <w:pPr>
        <w:ind w:left="0" w:leftChars="0" w:firstLine="1200" w:firstLineChars="50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В соответствии с частью 4 статьи 24 Федерального конституционного закона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частью 4 статьи 24 Федерального конституционного закона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частью 4 статьи 24 Федерального конституционного закона "О принятии в Российскую Федерацию Запорожской области и образовании в составе Российской Федерации нового субъекта - Запорожской области" и частью 4 статьи 24 Федерального конституционного закона "О принятии в Российскую Федерацию Херсонской области и образовании в составе Российской Федерации нового субъекта - Херсонской области" Правительство Российской Федерации постановляет:</w:t>
      </w:r>
    </w:p>
    <w:p>
      <w:pPr>
        <w:ind w:left="0" w:leftChars="0" w:firstLine="1200" w:firstLineChars="500"/>
        <w:jc w:val="both"/>
        <w:rPr>
          <w:rFonts w:hint="default" w:ascii="Times New Roman" w:hAnsi="Times New Roman" w:cs="Times New Roman"/>
          <w:color w:val="auto"/>
          <w:sz w:val="24"/>
          <w:szCs w:val="24"/>
        </w:rPr>
      </w:pPr>
    </w:p>
    <w:p>
      <w:pPr>
        <w:ind w:left="0" w:leftChars="0" w:firstLine="1200" w:firstLineChars="50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 Утвердить прилагаемые особенности определения начальной (максимальной) цены контракта, предметом которого является выполнение работ по строительству, реконструкции, капитальному ремонту объектов капитального строительства, расположенных на территории Донецкой Народной Республики, Луганской Народной Республики, Запорожской области или Херсонской области, цены такого контракта, заключаемого с единственным поставщиком (подрядчиком, исполнителем), а также особенности приемки и оплаты указанных работ.</w:t>
      </w:r>
    </w:p>
    <w:p>
      <w:pPr>
        <w:ind w:left="0" w:leftChars="0" w:firstLine="1200" w:firstLineChars="500"/>
        <w:jc w:val="both"/>
        <w:rPr>
          <w:rFonts w:hint="default" w:ascii="Times New Roman" w:hAnsi="Times New Roman" w:cs="Times New Roman"/>
          <w:color w:val="auto"/>
          <w:sz w:val="24"/>
          <w:szCs w:val="24"/>
        </w:rPr>
      </w:pPr>
    </w:p>
    <w:p>
      <w:pPr>
        <w:ind w:left="0" w:leftChars="0" w:firstLine="1200" w:firstLineChars="50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 Настоящее постановление вступает в силу с 1 мая 2023 г., применяется при осуществлении закупок товаров, работ, услуг для обеспечения государственных и муниципальных нужд, извещения об осуществлении которых размещены в единой информационной системе в сфере закупок либо приглашения принять участие в определении поставщика (подрядчика, исполнителя) по которым направлены после дня вступления в силу настоящего постановления, и действует до 1 января 2028 г.</w:t>
      </w:r>
    </w:p>
    <w:p>
      <w:pPr>
        <w:ind w:left="0" w:leftChars="0" w:firstLine="1200" w:firstLineChars="500"/>
        <w:jc w:val="both"/>
        <w:rPr>
          <w:rFonts w:hint="default" w:ascii="Times New Roman" w:hAnsi="Times New Roman" w:cs="Times New Roman"/>
          <w:color w:val="auto"/>
          <w:sz w:val="24"/>
          <w:szCs w:val="24"/>
        </w:rPr>
      </w:pPr>
    </w:p>
    <w:p>
      <w:pPr>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Председатель Правительства</w:t>
      </w:r>
    </w:p>
    <w:p>
      <w:pPr>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Российской Федерации</w:t>
      </w:r>
    </w:p>
    <w:p>
      <w:pPr>
        <w:ind w:left="0" w:leftChars="0" w:firstLine="1200" w:firstLineChars="500"/>
        <w:jc w:val="both"/>
        <w:rPr>
          <w:rFonts w:hint="default" w:ascii="Times New Roman" w:hAnsi="Times New Roman" w:cs="Times New Roman"/>
          <w:color w:val="auto"/>
          <w:sz w:val="24"/>
          <w:szCs w:val="24"/>
        </w:rPr>
      </w:pPr>
    </w:p>
    <w:p>
      <w:pPr>
        <w:ind w:left="0" w:leftChars="0" w:firstLine="6840" w:firstLineChars="285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М. Мишустин</w:t>
      </w:r>
    </w:p>
    <w:p>
      <w:pPr>
        <w:ind w:left="0" w:leftChars="0" w:firstLine="1200" w:firstLineChars="500"/>
        <w:jc w:val="both"/>
        <w:rPr>
          <w:rFonts w:hint="default" w:ascii="Times New Roman" w:hAnsi="Times New Roman" w:cs="Times New Roman"/>
          <w:color w:val="auto"/>
          <w:sz w:val="24"/>
          <w:szCs w:val="24"/>
        </w:rPr>
      </w:pPr>
    </w:p>
    <w:p>
      <w:pPr>
        <w:ind w:left="0" w:leftChars="0" w:firstLine="1200" w:firstLineChars="50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w:t>
      </w:r>
    </w:p>
    <w:p>
      <w:pPr>
        <w:ind w:left="0" w:leftChars="0" w:firstLine="1200" w:firstLineChars="500"/>
        <w:jc w:val="both"/>
        <w:rPr>
          <w:rFonts w:hint="default" w:ascii="Times New Roman" w:hAnsi="Times New Roman" w:cs="Times New Roman"/>
          <w:color w:val="auto"/>
          <w:sz w:val="24"/>
          <w:szCs w:val="24"/>
        </w:rPr>
      </w:pPr>
    </w:p>
    <w:p>
      <w:pPr>
        <w:ind w:left="0" w:leftChars="0" w:firstLine="1200" w:firstLineChars="500"/>
        <w:jc w:val="both"/>
        <w:rPr>
          <w:rFonts w:hint="default" w:ascii="Times New Roman" w:hAnsi="Times New Roman" w:cs="Times New Roman"/>
          <w:color w:val="auto"/>
          <w:sz w:val="24"/>
          <w:szCs w:val="24"/>
        </w:rPr>
      </w:pPr>
    </w:p>
    <w:p>
      <w:pPr>
        <w:ind w:left="0" w:leftChars="0" w:firstLine="1200" w:firstLineChars="500"/>
        <w:jc w:val="both"/>
        <w:rPr>
          <w:rFonts w:hint="default" w:ascii="Times New Roman" w:hAnsi="Times New Roman" w:cs="Times New Roman"/>
          <w:color w:val="auto"/>
          <w:sz w:val="24"/>
          <w:szCs w:val="24"/>
        </w:rPr>
      </w:pPr>
    </w:p>
    <w:p>
      <w:pPr>
        <w:ind w:left="0" w:leftChars="0" w:firstLine="1205" w:firstLineChars="500"/>
        <w:jc w:val="both"/>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УТВЕРЖДЕНЫ</w:t>
      </w:r>
    </w:p>
    <w:p>
      <w:pPr>
        <w:ind w:left="0" w:leftChars="0" w:firstLine="1205" w:firstLineChars="500"/>
        <w:jc w:val="both"/>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постановлением Правительства</w:t>
      </w:r>
    </w:p>
    <w:p>
      <w:pPr>
        <w:ind w:left="0" w:leftChars="0" w:firstLine="1205" w:firstLineChars="500"/>
        <w:jc w:val="both"/>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Российской Федерации</w:t>
      </w:r>
    </w:p>
    <w:p>
      <w:pPr>
        <w:ind w:left="0" w:leftChars="0" w:firstLine="1205" w:firstLineChars="500"/>
        <w:jc w:val="both"/>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 xml:space="preserve">от 19 апреля 2023 г. </w:t>
      </w:r>
      <w:r>
        <w:rPr>
          <w:rFonts w:hint="default" w:ascii="Times New Roman" w:hAnsi="Times New Roman" w:cs="Times New Roman"/>
          <w:b/>
          <w:bCs/>
          <w:color w:val="auto"/>
          <w:sz w:val="24"/>
          <w:szCs w:val="24"/>
          <w:lang w:val="ru-RU"/>
        </w:rPr>
        <w:t>№</w:t>
      </w:r>
      <w:r>
        <w:rPr>
          <w:rFonts w:hint="default" w:ascii="Times New Roman" w:hAnsi="Times New Roman" w:cs="Times New Roman"/>
          <w:b/>
          <w:bCs/>
          <w:color w:val="auto"/>
          <w:sz w:val="24"/>
          <w:szCs w:val="24"/>
        </w:rPr>
        <w:t xml:space="preserve"> 620</w:t>
      </w:r>
    </w:p>
    <w:p>
      <w:pPr>
        <w:ind w:left="0" w:leftChars="0" w:firstLine="1205" w:firstLineChars="500"/>
        <w:jc w:val="both"/>
        <w:rPr>
          <w:rFonts w:hint="default" w:ascii="Times New Roman" w:hAnsi="Times New Roman" w:cs="Times New Roman"/>
          <w:b/>
          <w:bCs/>
          <w:color w:val="auto"/>
          <w:sz w:val="24"/>
          <w:szCs w:val="24"/>
        </w:rPr>
      </w:pPr>
    </w:p>
    <w:p>
      <w:pPr>
        <w:ind w:left="0" w:leftChars="0" w:firstLine="1200" w:firstLineChars="500"/>
        <w:jc w:val="both"/>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Особенности</w:t>
      </w:r>
    </w:p>
    <w:p>
      <w:pPr>
        <w:ind w:left="0" w:leftChars="0" w:firstLine="1200" w:firstLineChars="500"/>
        <w:jc w:val="both"/>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определения начальной (максимальной) цены контракта, предметом которого является выполнение работ по строительству, реконструкции, капитальному ремонту объектов капитального строительства, расположенных на территории Донецкой Народной Республики, Луганской Народной Республики, Запорожской области или Херсонской области, цены такого контракта, заключаемого с единственным поставщиком (подрядчиком, исполнителем), а также особенности приемки и оплаты указанных работ</w:t>
      </w:r>
    </w:p>
    <w:p>
      <w:pPr>
        <w:ind w:left="0" w:leftChars="0" w:firstLine="1200" w:firstLineChars="500"/>
        <w:jc w:val="both"/>
        <w:rPr>
          <w:rFonts w:hint="default" w:ascii="Times New Roman" w:hAnsi="Times New Roman" w:cs="Times New Roman"/>
          <w:color w:val="auto"/>
          <w:sz w:val="24"/>
          <w:szCs w:val="24"/>
        </w:rPr>
      </w:pPr>
    </w:p>
    <w:p>
      <w:pPr>
        <w:ind w:left="0" w:leftChars="0" w:firstLine="1200" w:firstLineChars="50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 Определение начальной (максимальной) цены контракта, предметом которого является выполнение работ по строительству, реконструкции, капитальному ремонту объектов капитального строительства, расположенных на территории Донецкой Народной Республики, Луганской Народной Республики, Запорожской области или Херсонской области, цены такого контракта, заключаемого с единственным поставщиком (подрядчиком, исполнителем) (далее соответственно - контракт, начальная (максимальная) цена контракта, цена контракта, заключаемого с единственным поставщиком), осуществляется в следующем порядке:</w:t>
      </w:r>
    </w:p>
    <w:p>
      <w:pPr>
        <w:ind w:left="0" w:leftChars="0" w:firstLine="1200" w:firstLineChars="500"/>
        <w:jc w:val="both"/>
        <w:rPr>
          <w:rFonts w:hint="default" w:ascii="Times New Roman" w:hAnsi="Times New Roman" w:cs="Times New Roman"/>
          <w:color w:val="auto"/>
          <w:sz w:val="24"/>
          <w:szCs w:val="24"/>
        </w:rPr>
      </w:pPr>
    </w:p>
    <w:p>
      <w:pPr>
        <w:ind w:left="0" w:leftChars="0" w:firstLine="1200" w:firstLineChars="50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а) в случае наличия утвержденной заказчиком проектной документации, включающей сметную документацию, или сметы на капитальный ремонт объекта капитального строительства определение начальной (максимальной) цены контракта, цены контракта, заключаемого с единственным поставщиком, осуществляется посредством применения проектно-сметного метода в соответствии с пунктом 1 части 9 статьи 22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w:t>
      </w:r>
    </w:p>
    <w:p>
      <w:pPr>
        <w:ind w:left="0" w:leftChars="0" w:firstLine="1200" w:firstLineChars="500"/>
        <w:jc w:val="both"/>
        <w:rPr>
          <w:rFonts w:hint="default" w:ascii="Times New Roman" w:hAnsi="Times New Roman" w:cs="Times New Roman"/>
          <w:color w:val="auto"/>
          <w:sz w:val="24"/>
          <w:szCs w:val="24"/>
        </w:rPr>
      </w:pPr>
    </w:p>
    <w:p>
      <w:pPr>
        <w:ind w:left="0" w:leftChars="0" w:firstLine="1200" w:firstLineChars="50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б) в случае отсутствия утвержденной заказчиком проектной документации, включающей сметную документацию, или сметы на капитальный ремонт объекта капитального строительства определение начальной (максимальной) цены контракта, цены контракта, заключаемого с единственным поставщиком, осуществляется в порядке, утвержденном Министерством строительства и жилищно-коммунального хозяйства Российской Федерации в соответствии с частью 59 статьи 112 Федерального закона о контрактной системе.</w:t>
      </w:r>
    </w:p>
    <w:p>
      <w:pPr>
        <w:ind w:left="0" w:leftChars="0" w:firstLine="1200" w:firstLineChars="500"/>
        <w:jc w:val="both"/>
        <w:rPr>
          <w:rFonts w:hint="default" w:ascii="Times New Roman" w:hAnsi="Times New Roman" w:cs="Times New Roman"/>
          <w:color w:val="auto"/>
          <w:sz w:val="24"/>
          <w:szCs w:val="24"/>
        </w:rPr>
      </w:pPr>
    </w:p>
    <w:p>
      <w:pPr>
        <w:ind w:left="0" w:leftChars="0" w:firstLine="1200" w:firstLineChars="50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 При исполнении контракта применяются следующие особенности приемки и оплаты указанных в пункте 1 настоящего документа работ:</w:t>
      </w:r>
    </w:p>
    <w:p>
      <w:pPr>
        <w:ind w:left="0" w:leftChars="0" w:firstLine="1200" w:firstLineChars="500"/>
        <w:jc w:val="both"/>
        <w:rPr>
          <w:rFonts w:hint="default" w:ascii="Times New Roman" w:hAnsi="Times New Roman" w:cs="Times New Roman"/>
          <w:color w:val="auto"/>
          <w:sz w:val="24"/>
          <w:szCs w:val="24"/>
        </w:rPr>
      </w:pPr>
    </w:p>
    <w:p>
      <w:pPr>
        <w:ind w:left="0" w:leftChars="0" w:firstLine="1200" w:firstLineChars="50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а) для целей осуществления приемки и оплаты работ документ о приемке, предусмотренный частью 7 статьи 94 Федерального закона о контрактной системе, составляется, подписывается и направляется без использования единой информационной системы в сфере закупок товаров, работ, услуг для обеспечения государственных и муниципальных нужд. Порядок и сроки составления, подписания и направления такого документа о приемке устанавливаются заказчиком в контракте;</w:t>
      </w:r>
    </w:p>
    <w:p>
      <w:pPr>
        <w:ind w:left="0" w:leftChars="0" w:firstLine="1200" w:firstLineChars="500"/>
        <w:jc w:val="both"/>
        <w:rPr>
          <w:rFonts w:hint="default" w:ascii="Times New Roman" w:hAnsi="Times New Roman" w:cs="Times New Roman"/>
          <w:color w:val="auto"/>
          <w:sz w:val="24"/>
          <w:szCs w:val="24"/>
        </w:rPr>
      </w:pPr>
    </w:p>
    <w:p>
      <w:pPr>
        <w:ind w:left="0" w:leftChars="0" w:firstLine="1200" w:firstLineChars="50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б) оплата работ по контракту осуществляется в соответствии со сметой контракта с учетом фактически выполненных подрядчиком работ и фактически понесенных подрядчиком затрат в пределах доведенных лимитов бюджетных обязательств.</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8179FD"/>
    <w:rsid w:val="718179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Office_11.2.0.11536_F1E327BC-269C-435d-A152-05C5408002CA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2023-04-24T06:41:00Z</dcterms:created>
  <dc:creator>rahma</dc:creator>
  <cp:lastModifiedBy>rahma</cp:lastModifiedBy>
  <dcterms:modified xsi:type="dcterms:W3CDTF">2023-04-24T06:44:05Z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1049-11.2.0.11536</vt:lpwstr>
  </property>
  <property fmtid="{D5CDD505-2E9C-101B-9397-08002B2CF9AE}" pid="3" name="ICV">
    <vt:lpwstr>CDEEBE110F6A4E7F900E11F458696225</vt:lpwstr>
  </property>
</Properties>
</file>