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405" w:firstLineChars="583"/>
        <w:jc w:val="center"/>
        <w:rPr>
          <w:rFonts w:hint="default" w:ascii="Times New Roman" w:hAnsi="Times New Roman"/>
          <w:b/>
          <w:bCs/>
          <w:color w:val="auto"/>
          <w:sz w:val="24"/>
          <w:szCs w:val="24"/>
        </w:rPr>
      </w:pPr>
      <w:r>
        <w:rPr>
          <w:rFonts w:hint="default" w:ascii="Times New Roman" w:hAnsi="Times New Roman"/>
          <w:b/>
          <w:bCs/>
          <w:color w:val="auto"/>
          <w:sz w:val="24"/>
          <w:szCs w:val="24"/>
        </w:rPr>
        <w:t>МИНИСТЕРСТВО ФИНАНСОВ РОССИЙСКОЙ ФЕДЕРАЦИИ</w:t>
      </w:r>
    </w:p>
    <w:p>
      <w:pPr>
        <w:ind w:left="0" w:leftChars="0" w:firstLine="1405" w:firstLineChars="583"/>
        <w:jc w:val="center"/>
        <w:rPr>
          <w:rFonts w:hint="default" w:ascii="Times New Roman" w:hAnsi="Times New Roman"/>
          <w:b/>
          <w:bCs/>
          <w:color w:val="auto"/>
          <w:sz w:val="24"/>
          <w:szCs w:val="24"/>
        </w:rPr>
      </w:pPr>
    </w:p>
    <w:p>
      <w:pPr>
        <w:ind w:left="0" w:leftChars="0" w:firstLine="1405" w:firstLineChars="583"/>
        <w:jc w:val="center"/>
        <w:rPr>
          <w:rFonts w:hint="default" w:ascii="Times New Roman" w:hAnsi="Times New Roman"/>
          <w:b/>
          <w:bCs/>
          <w:color w:val="auto"/>
          <w:sz w:val="24"/>
          <w:szCs w:val="24"/>
        </w:rPr>
      </w:pPr>
      <w:r>
        <w:rPr>
          <w:rFonts w:hint="default" w:ascii="Times New Roman" w:hAnsi="Times New Roman"/>
          <w:b/>
          <w:bCs/>
          <w:color w:val="auto"/>
          <w:sz w:val="24"/>
          <w:szCs w:val="24"/>
        </w:rPr>
        <w:t>ПИСЬМО</w:t>
      </w:r>
    </w:p>
    <w:p>
      <w:pPr>
        <w:ind w:left="0" w:leftChars="0" w:firstLine="1405" w:firstLineChars="583"/>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от 11 мая 2023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24-06-09/42427</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от 16.04.2023 по вопросу о применении отдельных положений Федерального закона от 05.04.2013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сообщает следующее.</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Кроме того, в Минфине России, если законодательством Российской Федерации не установлено иное, не рассматриваются по существу обращения по оценке конкретных хозяйственных ситуаций.</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Вместе с тем Департамент в рамках установленной компетенции считает возможным сообщить следующее.</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В отношении определения и обоснования начальной (максимальной) цены контракта отмечаем следующее.</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Частью 1 статьи 18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установлено, что в целях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обоснованной признается закупка, осуществляемая в соответствии с положениями статей 19 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Так, согласно статье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начальная (максимальная) цена контракта и в предусмотренных Законом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случаях цена контракта, заключаемого с единственным поставщиком (подрядчиком, исполнителем) (далее - НМЦК), определяются и обосновываются заказчиком посредством применения методов, перечисленных в части 1 статьи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w:t>
      </w:r>
      <w:bookmarkStart w:id="0" w:name="_GoBack"/>
      <w:bookmarkEnd w:id="0"/>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При этом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частями 7 - 10 указанной статьи (часть 6 статьи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В случае невозможности применения для определения НМЦК методов, указанных в части 1 статьи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заказчик вправе применить иные методы. В этом случае в обоснование НМЦК заказчик обязан включить обоснование невозможности применения указанных методов (часть 12 статьи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Применение иных методов для расчета НМЦК не должно противоречить положениям законодательства в сфере контрактной системы.</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Законом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При этом в случаях, предусмотренных пунктами 3, 6, 11, 12, 16, 18, 19, 22, 23, 30 - 35, 37 - 41, 46 и 49 части 1 статьи 93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заказчик обосновывает такую цену в соответствии с Законом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и включает в контракт обоснование цены контракта.</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Учитывая изложенное, цена контракта, заключаемого с единственным поставщиком (подрядчиком, исполнителем) на основании пунктов 4, 5 части 1 статьи 93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определяется в соответствии положениями статьи 22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при этом обязанность включения в контракт обоснования такой цены отсутствует.</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Обращаем внимание, что 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(статья 34 Бюджетного кодекса Российской Федерации).</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По вопросу порядка начисления пеней по контракту сообщаем, что в соответствии с частью 4 статьи 34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Так, частью 6 статьи 34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установлено, что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Указанная норма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является нормой прямого действия и подлежит применению независимо от установленных условий контракта.</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Таким образом, в случае неисполнения или ненадлежащего исполнения поставщиком (подрядчиком, исполнителем) обязательств, предусмотренных контрактом, заказчик обязан направить поставщику (подрядчику, исполнителю) требование об уплате неустоек (штрафов, пеней).</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Частью 7 статьи 34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установлено, что пени начисляются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устанавливаются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пеней.</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Таким образом, пени начисляются начиная со дня, следующего после дня истечения установленного контрактом срока исполнения обязательства, при этом при расчете размера данных пеней используется ключевая ставка Центрального банка Российской Федерации, действующая на дату уплаты пеней.</w:t>
      </w:r>
    </w:p>
    <w:p>
      <w:pPr>
        <w:ind w:left="0" w:leftChars="0" w:firstLine="1399" w:firstLineChars="583"/>
        <w:jc w:val="right"/>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1399" w:firstLineChars="583"/>
        <w:jc w:val="right"/>
        <w:rPr>
          <w:rFonts w:hint="default" w:ascii="Times New Roman" w:hAnsi="Times New Roman"/>
          <w:color w:val="auto"/>
          <w:sz w:val="24"/>
          <w:szCs w:val="24"/>
        </w:rPr>
      </w:pPr>
      <w:r>
        <w:rPr>
          <w:rFonts w:hint="default" w:ascii="Times New Roman" w:hAnsi="Times New Roman"/>
          <w:color w:val="auto"/>
          <w:sz w:val="24"/>
          <w:szCs w:val="24"/>
        </w:rPr>
        <w:t>Заместитель директора Департамента</w:t>
      </w:r>
    </w:p>
    <w:p>
      <w:pPr>
        <w:ind w:left="0" w:leftChars="0" w:firstLine="1399" w:firstLineChars="583"/>
        <w:jc w:val="right"/>
        <w:rPr>
          <w:rFonts w:hint="default" w:ascii="Times New Roman" w:hAnsi="Times New Roman"/>
          <w:color w:val="auto"/>
          <w:sz w:val="24"/>
          <w:szCs w:val="24"/>
        </w:rPr>
      </w:pPr>
      <w:r>
        <w:rPr>
          <w:rFonts w:hint="default" w:ascii="Times New Roman" w:hAnsi="Times New Roman"/>
          <w:color w:val="auto"/>
          <w:sz w:val="24"/>
          <w:szCs w:val="24"/>
        </w:rPr>
        <w:t>Д.А.ГОТОВЦЕВ</w:t>
      </w:r>
    </w:p>
    <w:p>
      <w:pPr>
        <w:ind w:left="0" w:leftChars="0" w:firstLine="1399" w:firstLineChars="583"/>
        <w:jc w:val="right"/>
        <w:rPr>
          <w:rFonts w:hint="default" w:ascii="Times New Roman" w:hAnsi="Times New Roman"/>
          <w:color w:val="auto"/>
          <w:sz w:val="24"/>
          <w:szCs w:val="24"/>
        </w:rPr>
      </w:pPr>
      <w:r>
        <w:rPr>
          <w:rFonts w:hint="default" w:ascii="Times New Roman" w:hAnsi="Times New Roman"/>
          <w:color w:val="auto"/>
          <w:sz w:val="24"/>
          <w:szCs w:val="24"/>
        </w:rPr>
        <w:t>11.05.2023</w:t>
      </w:r>
    </w:p>
    <w:p>
      <w:pPr>
        <w:ind w:left="0" w:leftChars="0" w:firstLine="1399" w:firstLineChars="583"/>
        <w:jc w:val="both"/>
        <w:rPr>
          <w:rFonts w:hint="default" w:ascii="Times New Roman" w:hAnsi="Times New Roman" w:cs="Times New Roman"/>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70B06"/>
    <w:rsid w:val="2CE70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2023-05-29T08:20:00Z</dcterms:created>
  <dc:creator>rahma</dc:creator>
  <cp:lastModifiedBy>rahma</cp:lastModifiedBy>
  <dcterms:modified xsi:type="dcterms:W3CDTF">2023-05-29T08:45:43Z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4A538E1485064087876B365130BFDE79</vt:lpwstr>
  </property>
</Properties>
</file>