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7D" w:rsidRPr="005E5B7D" w:rsidRDefault="005E5B7D" w:rsidP="005E5B7D">
      <w:pPr>
        <w:shd w:val="clear" w:color="auto" w:fill="FFFFFF"/>
        <w:spacing w:after="0" w:line="312" w:lineRule="atLeast"/>
        <w:jc w:val="both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  <w:r w:rsidRPr="005E5B7D"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  <w:t>Информационное письмо Минфина России от 25.03.2019 № 24-01-07/20211 о порядке составления отчета об объеме закупок у субъектов малого предпринимательства и социально ориентированных некоммерческих организаций за 2018 год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В связи с поступающими вопросами, связанными с вступившими 1 января 2019 года изменениями в пункт 3 части 1.1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предусматривающими учет в объеме закупок у субъектов малого предпринимательства, социально ориентированных некоммерческих организаций,  несостоявшихся закупок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осуществленных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в соответствии с пунктами 25 - 25.3 части 1 статьи 93 Закона о контрактной системе, Минфин России сообщает следующее.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В соответствии с частью 1 статьи 30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Частью 1.1 статьи 30 Закона о контрактной системе установлено, что при определении объема закупок, предусмотренного частью 1 статьи 30 Закона о контрактной системе, в расчет совокупного годового объема закупок не включаются, в том числе закупки у единственного поставщика (подрядчика, исполнителя) в соответствии с частью 1 статьи 93 Закона о контрактной системе, за исключением закупок, которые осуществлены в соответствии с  пунктами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25 - 25.3 части 1 статьи 93 Закона о контрактной системе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о контрактной системе.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Указанные изменения вступили в силу с 1 января 2019 года.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соответствии с частью 4 статьи 30 Закона о контрактной системе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указанной статьи, и до 1 апреля года, следующего за отчетным годом,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разместить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такой отчет в единой информационной системе.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Правила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а также форма отчета об объеме закупок у субъектов малого предпринимательства и социально ориентированных некоммерческих организаций утверждены постановлением Правительства Российской Федерации от 17.03.2015 № 238 (далее – Правила, Форма отчета, Постановление № 238).</w:t>
      </w:r>
      <w:proofErr w:type="gramEnd"/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Вместе с тем требования к заполнению формы отчета об объеме закупок у субъектов малого предпринимательства и социально ориентированных некоммерческих организаций, содержащиеся в Правилах, в настоящее время не предусматривают положений, позволяющих учитывать закупки, которые осуществлены в соответствии с пунктами 25 - 25.3 части 1 статьи 93 Закона о контрактной системе по результатам несостоявшегося определения поставщиков (подрядчиков, исполнителей), в объеме закупок у субъектов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малого предпринимательства, социально ориентированных некоммерческих организаций.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настоящее время в рамках работы по совершенствованию законодательства Российской Федерации в сфере закупок Минфином России подготовлен и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в установленном порядке направлен на согласование с заинтересованными федеральными органами исполнительной власти проект постановления Правительства Российской Федерации о внесении изменений в Постановление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№ 238.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При этом частью 2 статьи 4, частью 1 статьи 15 Конституции Российской Федерации установлено, что Конституция Российской Федерации и федеральные законы имеют верховенство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lastRenderedPageBreak/>
        <w:t>Учитывая изложенное, до принятия указанных изменений в Постановление № 238 при заполнении отчета за 2018 год об объеме закупок у субъектов малого предпринимательства и социально ориентированных некоммерческих организаций заказчик руководствуется положениями статьи 30 Закона о контрактной системе, в том числе при определении объема закупок, предусмотренного частью 1 указанной статьи Закона о контрактной системе, в расчет совокупного годового объема закупок включает закупки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, которые осуществлены в соответствии с пунктами 25 - 25.3 части 1 статьи 93 Закона о контрактной системе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о контрактной системе.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Дополнительно Минфин России обращает внимание, что согласно информации, размещенной в единой информационной системе в сфере закупок, Федеральное казначейство осуществит мероприятия, направленные на обеспечение формирования отчетов в соответствии с принятыми и вступившими в законную силу изменениями статьи 30 Закона о контрактной системе (</w:t>
      </w:r>
      <w:hyperlink r:id="rId4" w:history="1">
        <w:r>
          <w:rPr>
            <w:rStyle w:val="a4"/>
            <w:rFonts w:ascii="Helvetica" w:hAnsi="Helvetica" w:cs="Helvetica"/>
            <w:color w:val="5BA149"/>
            <w:sz w:val="21"/>
            <w:szCs w:val="21"/>
            <w:u w:val="none"/>
          </w:rPr>
          <w:t>http://zakupki.gov.ru/epz/main/public/news/news_preview.html?newsId=28276</w:t>
        </w:r>
      </w:hyperlink>
      <w:r>
        <w:rPr>
          <w:rFonts w:ascii="Helvetica" w:hAnsi="Helvetica" w:cs="Helvetica"/>
          <w:color w:val="444444"/>
          <w:sz w:val="21"/>
          <w:szCs w:val="21"/>
        </w:rPr>
        <w:t>).</w:t>
      </w:r>
      <w:proofErr w:type="gramEnd"/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А.М. Лавров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i/>
          <w:iCs/>
          <w:color w:val="444444"/>
          <w:sz w:val="21"/>
          <w:szCs w:val="21"/>
        </w:rPr>
      </w:pPr>
      <w:r>
        <w:rPr>
          <w:rStyle w:val="a5"/>
          <w:rFonts w:ascii="Helvetica" w:hAnsi="Helvetica" w:cs="Helvetica"/>
          <w:color w:val="444444"/>
          <w:sz w:val="21"/>
          <w:szCs w:val="21"/>
        </w:rPr>
        <w:t xml:space="preserve">Исп.  Г.Р. </w:t>
      </w:r>
      <w:proofErr w:type="spellStart"/>
      <w:r>
        <w:rPr>
          <w:rStyle w:val="a5"/>
          <w:rFonts w:ascii="Helvetica" w:hAnsi="Helvetica" w:cs="Helvetica"/>
          <w:color w:val="444444"/>
          <w:sz w:val="21"/>
          <w:szCs w:val="21"/>
        </w:rPr>
        <w:t>Аюпова</w:t>
      </w:r>
      <w:proofErr w:type="spellEnd"/>
      <w:r>
        <w:rPr>
          <w:rStyle w:val="a5"/>
          <w:rFonts w:ascii="Helvetica" w:hAnsi="Helvetica" w:cs="Helvetica"/>
          <w:color w:val="444444"/>
          <w:sz w:val="21"/>
          <w:szCs w:val="21"/>
        </w:rPr>
        <w:t> </w:t>
      </w:r>
    </w:p>
    <w:p w:rsidR="005E5B7D" w:rsidRDefault="005E5B7D" w:rsidP="005E5B7D">
      <w:pPr>
        <w:pStyle w:val="a3"/>
        <w:shd w:val="clear" w:color="auto" w:fill="FFFFFF"/>
        <w:spacing w:before="128" w:beforeAutospacing="0" w:after="128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5"/>
          <w:rFonts w:ascii="Helvetica" w:hAnsi="Helvetica" w:cs="Helvetica"/>
          <w:color w:val="444444"/>
          <w:sz w:val="21"/>
          <w:szCs w:val="21"/>
        </w:rPr>
        <w:t xml:space="preserve">Тел. +7 495 983-36-99 </w:t>
      </w:r>
      <w:proofErr w:type="spellStart"/>
      <w:r>
        <w:rPr>
          <w:rStyle w:val="a5"/>
          <w:rFonts w:ascii="Helvetica" w:hAnsi="Helvetica" w:cs="Helvetica"/>
          <w:color w:val="444444"/>
          <w:sz w:val="21"/>
          <w:szCs w:val="21"/>
        </w:rPr>
        <w:t>доб</w:t>
      </w:r>
      <w:proofErr w:type="spellEnd"/>
      <w:r>
        <w:rPr>
          <w:rStyle w:val="a5"/>
          <w:rFonts w:ascii="Helvetica" w:hAnsi="Helvetica" w:cs="Helvetica"/>
          <w:color w:val="444444"/>
          <w:sz w:val="21"/>
          <w:szCs w:val="21"/>
        </w:rPr>
        <w:t>. (2424)</w:t>
      </w:r>
    </w:p>
    <w:p w:rsidR="00B01B94" w:rsidRDefault="00B01B94" w:rsidP="005E5B7D">
      <w:pPr>
        <w:jc w:val="both"/>
      </w:pPr>
    </w:p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E5B7D"/>
    <w:rsid w:val="003636AE"/>
    <w:rsid w:val="005E5B7D"/>
    <w:rsid w:val="00B01B94"/>
    <w:rsid w:val="00C4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E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B7D"/>
    <w:rPr>
      <w:color w:val="0000FF"/>
      <w:u w:val="single"/>
    </w:rPr>
  </w:style>
  <w:style w:type="character" w:styleId="a5">
    <w:name w:val="Emphasis"/>
    <w:basedOn w:val="a0"/>
    <w:uiPriority w:val="20"/>
    <w:qFormat/>
    <w:rsid w:val="005E5B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E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upki.gov.ru/epz/main/public/news/news_preview.html?newsId=28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4476</Characters>
  <Application>Microsoft Office Word</Application>
  <DocSecurity>0</DocSecurity>
  <Lines>37</Lines>
  <Paragraphs>10</Paragraphs>
  <ScaleCrop>false</ScaleCrop>
  <Company>Krokoz™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2019-04-02T04:53:00Z</dcterms:created>
  <dcterms:modified xsi:type="dcterms:W3CDTF">2019-04-02T04:54:00Z</dcterms:modified>
</cp:coreProperties>
</file>