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E5F02" w:rsidRPr="003E5F02" w:rsidRDefault="003E5F02" w:rsidP="003E5F02">
      <w:pPr>
        <w:shd w:val="clear" w:color="auto" w:fill="FFFFFF"/>
        <w:spacing w:after="0" w:line="312" w:lineRule="atLeast"/>
        <w:jc w:val="center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</w:pPr>
      <w:r w:rsidRPr="003E5F02"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  <w:t>Информационное письмо Минфина России от 15.05.2019 № 24-01-07/34829 по вопросу заключения и порядка оплаты по контракту исполнителю, применяющему упрощенную систему налогообложения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В связи с поступающими вопросами о применении положений Федерального закона от 05.04.2013 № 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в части заключения и порядка оплаты по контракту исполнителю, применяющему упрощенную систему налогообложения, Минфин России сообщает следующее.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В соответствии с пунктом 4 статьи 3 Закона о контрактной системе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Helvetica" w:hAnsi="Helvetica" w:cs="Helvetica"/>
          <w:color w:val="444444"/>
          <w:sz w:val="28"/>
          <w:szCs w:val="28"/>
        </w:rPr>
        <w:t>офшорные</w:t>
      </w:r>
      <w:proofErr w:type="spellEnd"/>
      <w:r>
        <w:rPr>
          <w:rFonts w:ascii="Helvetica" w:hAnsi="Helvetica" w:cs="Helvetica"/>
          <w:color w:val="444444"/>
          <w:sz w:val="28"/>
          <w:szCs w:val="28"/>
        </w:rPr>
        <w:t xml:space="preserve">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 xml:space="preserve">Таким образом, любой участник закупки, в том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числе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который освобожден от уплаты налога на добавленную стоимость и применяет упрощенную систему налогообложения, вправе участвовать в закупках.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Вместе с тем сведения о применяемой участниками закупок системе налогообложения не включены в перечень документов и сведений, которые участники закупок должны представлять в составе заявки на участие в закупке.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Законом о контрактной системе в сфере закупок не определен порядок действий заказчика, в случае если победитель конкурентной процедуры использует или переходит на упрощенную систему налогообложения.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При этом в соответствии с положениями Закона о контрактной системе при осуществлении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закупки в извещении и документации о </w:t>
      </w:r>
      <w:r>
        <w:rPr>
          <w:rFonts w:ascii="Helvetica" w:hAnsi="Helvetica" w:cs="Helvetica"/>
          <w:color w:val="444444"/>
          <w:sz w:val="28"/>
          <w:szCs w:val="28"/>
        </w:rPr>
        <w:lastRenderedPageBreak/>
        <w:t>закупке заказчиком устанавливается начальная (максимальная) цена контракта.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 (далее - НМЦК), определяются в соответствии с положениями статьи 22 Закона о контрактной системе.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Запрос на предоставление ценовой информации может содержать,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о том,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По мнению Минфина России, при установлении начальной (максимальной) цены контракта заказчику необходимо учитывать все факторы, влияющие на цену, в том числе налоговые платежи, предусмотренные Налоговым кодексом Российской Федерации (далее – Кодекс).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 xml:space="preserve">Согласно части 1 статьи 34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о контрактной системе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извещение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об </w:t>
      </w:r>
      <w:r>
        <w:rPr>
          <w:rFonts w:ascii="Helvetica" w:hAnsi="Helvetica" w:cs="Helvetica"/>
          <w:color w:val="444444"/>
          <w:sz w:val="28"/>
          <w:szCs w:val="28"/>
        </w:rPr>
        <w:lastRenderedPageBreak/>
        <w:t xml:space="preserve">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предусмотрены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>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настоящей статьей и статьей 95 Закона о контрактной системе  (часть 2 статьи 34 Закона о контрактной системе).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Таким образом, с учетом положений Закона о контрактной системе, контракт заключается и оплачивается заказчиком по цене победителя закупок вне зависимости от применения системы налогообложения у победителя.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Сумма, предусмотренная контрактом за выполненный объем работ, должна быть оплачена победителю закупок в установленном контрактом размере.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о контрактной системе не предусмотрена.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Кодекса.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При этом в соответствии с пунктом 2 части 13 статьи 34 Закона о контрактной системе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платежей, в бюджеты бюджетной системы Российской Федерации, связанных с оплатой контракта, если в соответствии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lastRenderedPageBreak/>
        <w:t>Таким образом, Законом о контрактной системе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  <w:proofErr w:type="gramEnd"/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Вместе с тем подпунктом «а» пункта 1 части 1 статьи 95 Закона о контрактной системе предусмотрена возможность снижения цены контракта по соглашению сторон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контракта, при условии, что возможность изменения условий контракта была предусмотрена документацией о закупке и контрактом, а в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</w:t>
      </w:r>
      <w:proofErr w:type="gramStart"/>
      <w:r>
        <w:rPr>
          <w:rFonts w:ascii="Helvetica" w:hAnsi="Helvetica" w:cs="Helvetica"/>
          <w:color w:val="444444"/>
          <w:sz w:val="28"/>
          <w:szCs w:val="28"/>
        </w:rPr>
        <w:t>случае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осуществления закупки у единственного поставщика (подрядчика, исполнителя) контрактом.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Дополнительно отмечаем, что пунктами 2 и 3 статьи 346.11 главы 26.2 «Упрощенная система налогообложения»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налога на добавленную стоимость, уплачиваемого в соответствии со статьями 161 и 174.1 Кодекса.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proofErr w:type="gramStart"/>
      <w:r>
        <w:rPr>
          <w:rFonts w:ascii="Helvetica" w:hAnsi="Helvetica" w:cs="Helvetica"/>
          <w:color w:val="444444"/>
          <w:sz w:val="28"/>
          <w:szCs w:val="28"/>
        </w:rPr>
        <w:t>Пунктом 5 постановления Пленума Высшего Арбитражного Суда Российской Федерации от 30 мая 2014 г. №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</w:t>
      </w:r>
      <w:proofErr w:type="gramEnd"/>
      <w:r>
        <w:rPr>
          <w:rFonts w:ascii="Helvetica" w:hAnsi="Helvetica" w:cs="Helvetica"/>
          <w:color w:val="444444"/>
          <w:sz w:val="28"/>
          <w:szCs w:val="28"/>
        </w:rPr>
        <w:t xml:space="preserve">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</w:t>
      </w:r>
      <w:r>
        <w:rPr>
          <w:rFonts w:ascii="Helvetica" w:hAnsi="Helvetica" w:cs="Helvetica"/>
          <w:color w:val="444444"/>
          <w:sz w:val="28"/>
          <w:szCs w:val="28"/>
        </w:rPr>
        <w:lastRenderedPageBreak/>
        <w:t>вычеты приведенной нормой либо иными положениями главы 21 Кодекса не предусмотрена.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E5F02" w:rsidRDefault="003E5F02" w:rsidP="003E5F02">
      <w:pPr>
        <w:pStyle w:val="a3"/>
        <w:shd w:val="clear" w:color="auto" w:fill="FFFFFF"/>
        <w:spacing w:before="168" w:beforeAutospacing="0" w:after="168" w:afterAutospacing="0"/>
        <w:jc w:val="both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А.М. Лавров</w:t>
      </w:r>
    </w:p>
    <w:p w:rsidR="00B01B94" w:rsidRPr="003E5F02" w:rsidRDefault="00B01B94" w:rsidP="003E5F02">
      <w:pPr>
        <w:jc w:val="both"/>
      </w:pPr>
    </w:p>
    <w:sectPr w:rsidR="00B01B94" w:rsidRPr="003E5F0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5F02"/>
    <w:rsid w:val="003636AE"/>
    <w:rsid w:val="003E5F02"/>
    <w:rsid w:val="00905058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3E5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1406</Words>
  <Characters>8015</Characters>
  <Application>Microsoft Office Word</Application>
  <DocSecurity>0</DocSecurity>
  <Lines>66</Lines>
  <Paragraphs>18</Paragraphs>
  <ScaleCrop>false</ScaleCrop>
  <Company>Krokoz™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2019-05-28T05:27:00Z</dcterms:created>
  <dcterms:modified xsi:type="dcterms:W3CDTF">2019-05-28T05:33:00Z</dcterms:modified>
</cp:coreProperties>
</file>