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98" w:rsidRPr="00403298" w:rsidRDefault="004B2951" w:rsidP="004B2951">
      <w:pPr>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4B2951">
        <w:rPr>
          <w:rFonts w:ascii="Times New Roman" w:eastAsia="Times New Roman" w:hAnsi="Times New Roman" w:cs="Times New Roman"/>
          <w:b/>
          <w:bCs/>
          <w:color w:val="000000" w:themeColor="text1"/>
          <w:sz w:val="24"/>
          <w:szCs w:val="24"/>
          <w:lang w:eastAsia="ru-RU"/>
        </w:rPr>
        <w:t xml:space="preserve">Письмо </w:t>
      </w:r>
    </w:p>
    <w:p w:rsidR="00403298" w:rsidRPr="00403298" w:rsidRDefault="004B2951" w:rsidP="004B2951">
      <w:pPr>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4B2951">
        <w:rPr>
          <w:rFonts w:ascii="Times New Roman" w:eastAsia="Times New Roman" w:hAnsi="Times New Roman" w:cs="Times New Roman"/>
          <w:b/>
          <w:bCs/>
          <w:color w:val="000000" w:themeColor="text1"/>
          <w:sz w:val="24"/>
          <w:szCs w:val="24"/>
          <w:lang w:eastAsia="ru-RU"/>
        </w:rPr>
        <w:t>Министерства строительства и жилищно-коммунального хозяйства РФ</w:t>
      </w:r>
    </w:p>
    <w:p w:rsidR="004B2951" w:rsidRPr="004B2951" w:rsidRDefault="004B2951" w:rsidP="004B2951">
      <w:pPr>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4B2951">
        <w:rPr>
          <w:rFonts w:ascii="Times New Roman" w:eastAsia="Times New Roman" w:hAnsi="Times New Roman" w:cs="Times New Roman"/>
          <w:b/>
          <w:bCs/>
          <w:color w:val="000000" w:themeColor="text1"/>
          <w:sz w:val="24"/>
          <w:szCs w:val="24"/>
          <w:lang w:eastAsia="ru-RU"/>
        </w:rPr>
        <w:t xml:space="preserve"> от 18 марта 2020 г. N 8323-ОГ/09</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B2951">
        <w:rPr>
          <w:rFonts w:ascii="Times New Roman" w:eastAsia="Times New Roman" w:hAnsi="Times New Roman" w:cs="Times New Roman"/>
          <w:bCs/>
          <w:color w:val="000000" w:themeColor="text1"/>
          <w:sz w:val="24"/>
          <w:szCs w:val="24"/>
          <w:lang w:eastAsia="ru-RU"/>
        </w:rPr>
        <w:t> </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B2951">
        <w:rPr>
          <w:rFonts w:ascii="Times New Roman" w:eastAsia="Times New Roman" w:hAnsi="Times New Roman" w:cs="Times New Roman"/>
          <w:bCs/>
          <w:color w:val="000000" w:themeColor="text1"/>
          <w:sz w:val="24"/>
          <w:szCs w:val="24"/>
          <w:lang w:eastAsia="ru-RU"/>
        </w:rPr>
        <w:t>Департамент ценообразования и градостроительного зонирования Министерства строительства и жилищно-коммунального хозяйства Российской Федерации рассмотрел обращение и в рамках компетенции сообщает.</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B2951">
        <w:rPr>
          <w:rFonts w:ascii="Times New Roman" w:eastAsia="Times New Roman" w:hAnsi="Times New Roman" w:cs="Times New Roman"/>
          <w:bCs/>
          <w:color w:val="000000" w:themeColor="text1"/>
          <w:sz w:val="24"/>
          <w:szCs w:val="24"/>
          <w:lang w:eastAsia="ru-RU"/>
        </w:rPr>
        <w:t>Определение начальной (максимальной) цены контракта (далее - НМЦК) осуществляется государственными или муниципальными заказчиками с применением общих правил, установленных </w:t>
      </w:r>
      <w:r w:rsidRPr="00403298">
        <w:rPr>
          <w:rFonts w:ascii="Times New Roman" w:eastAsia="Times New Roman" w:hAnsi="Times New Roman" w:cs="Times New Roman"/>
          <w:bCs/>
          <w:color w:val="000000" w:themeColor="text1"/>
          <w:sz w:val="24"/>
          <w:szCs w:val="24"/>
          <w:lang w:eastAsia="ru-RU"/>
        </w:rPr>
        <w:t>Порядком</w:t>
      </w:r>
      <w:r w:rsidRPr="004B2951">
        <w:rPr>
          <w:rFonts w:ascii="Times New Roman" w:eastAsia="Times New Roman" w:hAnsi="Times New Roman" w:cs="Times New Roman"/>
          <w:bCs/>
          <w:color w:val="000000" w:themeColor="text1"/>
          <w:sz w:val="24"/>
          <w:szCs w:val="24"/>
          <w:lang w:eastAsia="ru-RU"/>
        </w:rPr>
        <w:t>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утвержденным </w:t>
      </w:r>
      <w:r w:rsidRPr="00403298">
        <w:rPr>
          <w:rFonts w:ascii="Times New Roman" w:eastAsia="Times New Roman" w:hAnsi="Times New Roman" w:cs="Times New Roman"/>
          <w:bCs/>
          <w:color w:val="000000" w:themeColor="text1"/>
          <w:sz w:val="24"/>
          <w:szCs w:val="24"/>
          <w:lang w:eastAsia="ru-RU"/>
        </w:rPr>
        <w:t>приказом</w:t>
      </w:r>
      <w:r w:rsidRPr="004B2951">
        <w:rPr>
          <w:rFonts w:ascii="Times New Roman" w:eastAsia="Times New Roman" w:hAnsi="Times New Roman" w:cs="Times New Roman"/>
          <w:bCs/>
          <w:color w:val="000000" w:themeColor="text1"/>
          <w:sz w:val="24"/>
          <w:szCs w:val="24"/>
          <w:lang w:eastAsia="ru-RU"/>
        </w:rPr>
        <w:t> Минстроя России от 23 декабря 2019 г. N 841/</w:t>
      </w:r>
      <w:proofErr w:type="spellStart"/>
      <w:proofErr w:type="gramStart"/>
      <w:r w:rsidRPr="004B2951">
        <w:rPr>
          <w:rFonts w:ascii="Times New Roman" w:eastAsia="Times New Roman" w:hAnsi="Times New Roman" w:cs="Times New Roman"/>
          <w:bCs/>
          <w:color w:val="000000" w:themeColor="text1"/>
          <w:sz w:val="24"/>
          <w:szCs w:val="24"/>
          <w:lang w:eastAsia="ru-RU"/>
        </w:rPr>
        <w:t>пр</w:t>
      </w:r>
      <w:proofErr w:type="spellEnd"/>
      <w:proofErr w:type="gramEnd"/>
      <w:r w:rsidRPr="004B2951">
        <w:rPr>
          <w:rFonts w:ascii="Times New Roman" w:eastAsia="Times New Roman" w:hAnsi="Times New Roman" w:cs="Times New Roman"/>
          <w:bCs/>
          <w:color w:val="000000" w:themeColor="text1"/>
          <w:sz w:val="24"/>
          <w:szCs w:val="24"/>
          <w:lang w:eastAsia="ru-RU"/>
        </w:rPr>
        <w:t xml:space="preserve"> (далее - Порядок определения НМЦК).</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proofErr w:type="gramStart"/>
      <w:r w:rsidRPr="004B2951">
        <w:rPr>
          <w:rFonts w:ascii="Times New Roman" w:eastAsia="Times New Roman" w:hAnsi="Times New Roman" w:cs="Times New Roman"/>
          <w:bCs/>
          <w:color w:val="000000" w:themeColor="text1"/>
          <w:sz w:val="24"/>
          <w:szCs w:val="24"/>
          <w:lang w:eastAsia="ru-RU"/>
        </w:rPr>
        <w:t>Согласно </w:t>
      </w:r>
      <w:r w:rsidRPr="00403298">
        <w:rPr>
          <w:rFonts w:ascii="Times New Roman" w:eastAsia="Times New Roman" w:hAnsi="Times New Roman" w:cs="Times New Roman"/>
          <w:bCs/>
          <w:color w:val="000000" w:themeColor="text1"/>
          <w:sz w:val="24"/>
          <w:szCs w:val="24"/>
          <w:lang w:eastAsia="ru-RU"/>
        </w:rPr>
        <w:t>пункту 8</w:t>
      </w:r>
      <w:r w:rsidRPr="004B2951">
        <w:rPr>
          <w:rFonts w:ascii="Times New Roman" w:eastAsia="Times New Roman" w:hAnsi="Times New Roman" w:cs="Times New Roman"/>
          <w:bCs/>
          <w:color w:val="000000" w:themeColor="text1"/>
          <w:sz w:val="24"/>
          <w:szCs w:val="24"/>
          <w:lang w:eastAsia="ru-RU"/>
        </w:rPr>
        <w:t> Порядка определения НМЦК при осуществлении закупки подрядных работ по строительству, реконструкции, капитальному ремонту, сносу объекта капитального строительства определяется на основании проектной документации, утвержденной в порядке, установленном законодательством о градостроительной деятельности с применением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w:t>
      </w:r>
      <w:proofErr w:type="gramEnd"/>
      <w:r w:rsidRPr="004B2951">
        <w:rPr>
          <w:rFonts w:ascii="Times New Roman" w:eastAsia="Times New Roman" w:hAnsi="Times New Roman" w:cs="Times New Roman"/>
          <w:bCs/>
          <w:color w:val="000000" w:themeColor="text1"/>
          <w:sz w:val="24"/>
          <w:szCs w:val="24"/>
          <w:lang w:eastAsia="ru-RU"/>
        </w:rPr>
        <w:t xml:space="preserve"> </w:t>
      </w:r>
      <w:proofErr w:type="gramStart"/>
      <w:r w:rsidRPr="004B2951">
        <w:rPr>
          <w:rFonts w:ascii="Times New Roman" w:eastAsia="Times New Roman" w:hAnsi="Times New Roman" w:cs="Times New Roman"/>
          <w:bCs/>
          <w:color w:val="000000" w:themeColor="text1"/>
          <w:sz w:val="24"/>
          <w:szCs w:val="24"/>
          <w:lang w:eastAsia="ru-RU"/>
        </w:rPr>
        <w:t>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а также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w:t>
      </w:r>
      <w:proofErr w:type="gramEnd"/>
      <w:r w:rsidRPr="004B2951">
        <w:rPr>
          <w:rFonts w:ascii="Times New Roman" w:eastAsia="Times New Roman" w:hAnsi="Times New Roman" w:cs="Times New Roman"/>
          <w:bCs/>
          <w:color w:val="000000" w:themeColor="text1"/>
          <w:sz w:val="24"/>
          <w:szCs w:val="24"/>
          <w:lang w:eastAsia="ru-RU"/>
        </w:rPr>
        <w:t xml:space="preserve"> счет средств бюджета субъекта Российской Федерации.</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proofErr w:type="gramStart"/>
      <w:r w:rsidRPr="004B2951">
        <w:rPr>
          <w:rFonts w:ascii="Times New Roman" w:eastAsia="Times New Roman" w:hAnsi="Times New Roman" w:cs="Times New Roman"/>
          <w:bCs/>
          <w:color w:val="000000" w:themeColor="text1"/>
          <w:sz w:val="24"/>
          <w:szCs w:val="24"/>
          <w:lang w:eastAsia="ru-RU"/>
        </w:rPr>
        <w:t>При этом следует учитывать, что </w:t>
      </w:r>
      <w:r w:rsidRPr="00403298">
        <w:rPr>
          <w:rFonts w:ascii="Times New Roman" w:eastAsia="Times New Roman" w:hAnsi="Times New Roman" w:cs="Times New Roman"/>
          <w:bCs/>
          <w:color w:val="000000" w:themeColor="text1"/>
          <w:sz w:val="24"/>
          <w:szCs w:val="24"/>
          <w:lang w:eastAsia="ru-RU"/>
        </w:rPr>
        <w:t>пунктом 45(13)</w:t>
      </w:r>
      <w:r w:rsidRPr="004B2951">
        <w:rPr>
          <w:rFonts w:ascii="Times New Roman" w:eastAsia="Times New Roman" w:hAnsi="Times New Roman" w:cs="Times New Roman"/>
          <w:bCs/>
          <w:color w:val="000000" w:themeColor="text1"/>
          <w:sz w:val="24"/>
          <w:szCs w:val="24"/>
          <w:lang w:eastAsia="ru-RU"/>
        </w:rPr>
        <w:t> Положения об организации и проведения государственной экспертизы проектной документации и результатов инженерных изысканий, утвержденных </w:t>
      </w:r>
      <w:r w:rsidRPr="00403298">
        <w:rPr>
          <w:rFonts w:ascii="Times New Roman" w:eastAsia="Times New Roman" w:hAnsi="Times New Roman" w:cs="Times New Roman"/>
          <w:bCs/>
          <w:color w:val="000000" w:themeColor="text1"/>
          <w:sz w:val="24"/>
          <w:szCs w:val="24"/>
          <w:lang w:eastAsia="ru-RU"/>
        </w:rPr>
        <w:t>постановлением</w:t>
      </w:r>
      <w:r w:rsidRPr="004B2951">
        <w:rPr>
          <w:rFonts w:ascii="Times New Roman" w:eastAsia="Times New Roman" w:hAnsi="Times New Roman" w:cs="Times New Roman"/>
          <w:bCs/>
          <w:color w:val="000000" w:themeColor="text1"/>
          <w:sz w:val="24"/>
          <w:szCs w:val="24"/>
          <w:lang w:eastAsia="ru-RU"/>
        </w:rPr>
        <w:t>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установлено, что после получения положительного заключения государственной экспертизы, но до даты заключения государственного (муниципального</w:t>
      </w:r>
      <w:proofErr w:type="gramEnd"/>
      <w:r w:rsidRPr="004B2951">
        <w:rPr>
          <w:rFonts w:ascii="Times New Roman" w:eastAsia="Times New Roman" w:hAnsi="Times New Roman" w:cs="Times New Roman"/>
          <w:bCs/>
          <w:color w:val="000000" w:themeColor="text1"/>
          <w:sz w:val="24"/>
          <w:szCs w:val="24"/>
          <w:lang w:eastAsia="ru-RU"/>
        </w:rPr>
        <w:t>)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застройщик самостоятельно может пересчитать сметную стоимость, применив индексы изменения сметной стоимости строительства, действующие на дату пересчета сметной стоимости. Повторная проверка пересчитанной сметной стоимости не проводится. Такая сметная документация может быть направлена на повторную государственную экспертизу проектной документации в части проверки сметной стоимости по решению застройщика.</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B2951">
        <w:rPr>
          <w:rFonts w:ascii="Times New Roman" w:eastAsia="Times New Roman" w:hAnsi="Times New Roman" w:cs="Times New Roman"/>
          <w:bCs/>
          <w:color w:val="000000" w:themeColor="text1"/>
          <w:sz w:val="24"/>
          <w:szCs w:val="24"/>
          <w:lang w:eastAsia="ru-RU"/>
        </w:rPr>
        <w:t xml:space="preserve">Таким образом, если для определения НМЦК используется проектная (сметная) документация, разработанная на </w:t>
      </w:r>
      <w:proofErr w:type="gramStart"/>
      <w:r w:rsidRPr="004B2951">
        <w:rPr>
          <w:rFonts w:ascii="Times New Roman" w:eastAsia="Times New Roman" w:hAnsi="Times New Roman" w:cs="Times New Roman"/>
          <w:bCs/>
          <w:color w:val="000000" w:themeColor="text1"/>
          <w:sz w:val="24"/>
          <w:szCs w:val="24"/>
          <w:lang w:eastAsia="ru-RU"/>
        </w:rPr>
        <w:t>основании применяемой на</w:t>
      </w:r>
      <w:proofErr w:type="gramEnd"/>
      <w:r w:rsidRPr="004B2951">
        <w:rPr>
          <w:rFonts w:ascii="Times New Roman" w:eastAsia="Times New Roman" w:hAnsi="Times New Roman" w:cs="Times New Roman"/>
          <w:bCs/>
          <w:color w:val="000000" w:themeColor="text1"/>
          <w:sz w:val="24"/>
          <w:szCs w:val="24"/>
          <w:lang w:eastAsia="ru-RU"/>
        </w:rPr>
        <w:t xml:space="preserve"> дату формирования НМЦК сметно-нормативной базы, то для пересчета сметной стоимости работ в уровень цен на дату определения НМЦК используются индексы изменения сметной стоимости строительства, действующие на дату определения НМЦК.</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proofErr w:type="gramStart"/>
      <w:r w:rsidRPr="004B2951">
        <w:rPr>
          <w:rFonts w:ascii="Times New Roman" w:eastAsia="Times New Roman" w:hAnsi="Times New Roman" w:cs="Times New Roman"/>
          <w:bCs/>
          <w:color w:val="000000" w:themeColor="text1"/>
          <w:sz w:val="24"/>
          <w:szCs w:val="24"/>
          <w:lang w:eastAsia="ru-RU"/>
        </w:rPr>
        <w:lastRenderedPageBreak/>
        <w:t>В случае, если проектная (сметная) документация, разработана на основании сметно-нормативной базы не применяемой на дату формирования НМЦК, то пересчет сметной стоимости работ в уровень цен на дату определения НМЦК осуществляется с использованием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w:t>
      </w:r>
      <w:proofErr w:type="gramEnd"/>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B2951">
        <w:rPr>
          <w:rFonts w:ascii="Times New Roman" w:eastAsia="Times New Roman" w:hAnsi="Times New Roman" w:cs="Times New Roman"/>
          <w:bCs/>
          <w:color w:val="000000" w:themeColor="text1"/>
          <w:sz w:val="24"/>
          <w:szCs w:val="24"/>
          <w:lang w:eastAsia="ru-RU"/>
        </w:rPr>
        <w:t>Официальная статистическая информация об индексах цен на продукцию (затраты, услуги) инвестиционного назначения по видам экономической деятельности (строительство) размещена на официальном сайте Федеральной службы государственной статистики в информационно-телекоммуникационной сети Интернет по адресу https://www.gks.ru/dbscripts/cbsd/DBInet.cgi?pl=9460004 (далее - индексы цен Росстата).</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B2951">
        <w:rPr>
          <w:rFonts w:ascii="Times New Roman" w:eastAsia="Times New Roman" w:hAnsi="Times New Roman" w:cs="Times New Roman"/>
          <w:bCs/>
          <w:color w:val="000000" w:themeColor="text1"/>
          <w:sz w:val="24"/>
          <w:szCs w:val="24"/>
          <w:lang w:eastAsia="ru-RU"/>
        </w:rPr>
        <w:t>Для определения значений индексов цен Росстата используются "Индексы цен на продукцию (затраты, услуги) инвестиционного назначения", в целом по Российской Федерации определяемые по виду экономической деятельности "Строительство", для периода от даты утверждения проектной (сметной) документации до даты определения НМЦК (к соответствующему месяцу предыдущего года, к предыдущему месяцу).</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B2951">
        <w:rPr>
          <w:rFonts w:ascii="Times New Roman" w:eastAsia="Times New Roman" w:hAnsi="Times New Roman" w:cs="Times New Roman"/>
          <w:bCs/>
          <w:color w:val="000000" w:themeColor="text1"/>
          <w:sz w:val="24"/>
          <w:szCs w:val="24"/>
          <w:lang w:eastAsia="ru-RU"/>
        </w:rPr>
        <w:t>На основании индексов цен Росстата рассчитываются индексы фактической инфляции, которые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НМЦК.</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B2951">
        <w:rPr>
          <w:rFonts w:ascii="Times New Roman" w:eastAsia="Times New Roman" w:hAnsi="Times New Roman" w:cs="Times New Roman"/>
          <w:bCs/>
          <w:color w:val="000000" w:themeColor="text1"/>
          <w:sz w:val="24"/>
          <w:szCs w:val="24"/>
          <w:lang w:eastAsia="ru-RU"/>
        </w:rPr>
        <w:t xml:space="preserve">Индексы-дефляторы Министерства экономического развития Российской Федерации по строке "Инвестиции в основной капитал" (далее - индексы-дефляторы Минэкономразвития России) опубликованы на официальном сайте Минэкономразвития России в информационно-телекоммуникационной сети Интернет в разделе: "Деятельность / Макроэкономика / Прогнозы социально-экономического развития по адресу https://economy.gov.ru/material/directions/makroec/prognozysocialno </w:t>
      </w:r>
      <w:proofErr w:type="spellStart"/>
      <w:r w:rsidRPr="004B2951">
        <w:rPr>
          <w:rFonts w:ascii="Times New Roman" w:eastAsia="Times New Roman" w:hAnsi="Times New Roman" w:cs="Times New Roman"/>
          <w:bCs/>
          <w:color w:val="000000" w:themeColor="text1"/>
          <w:sz w:val="24"/>
          <w:szCs w:val="24"/>
          <w:lang w:eastAsia="ru-RU"/>
        </w:rPr>
        <w:t>ekonomicheskogo</w:t>
      </w:r>
      <w:proofErr w:type="spellEnd"/>
      <w:r w:rsidRPr="004B2951">
        <w:rPr>
          <w:rFonts w:ascii="Times New Roman" w:eastAsia="Times New Roman" w:hAnsi="Times New Roman" w:cs="Times New Roman"/>
          <w:bCs/>
          <w:color w:val="000000" w:themeColor="text1"/>
          <w:sz w:val="24"/>
          <w:szCs w:val="24"/>
          <w:lang w:eastAsia="ru-RU"/>
        </w:rPr>
        <w:t xml:space="preserve"> </w:t>
      </w:r>
      <w:proofErr w:type="spellStart"/>
      <w:r w:rsidRPr="004B2951">
        <w:rPr>
          <w:rFonts w:ascii="Times New Roman" w:eastAsia="Times New Roman" w:hAnsi="Times New Roman" w:cs="Times New Roman"/>
          <w:bCs/>
          <w:color w:val="000000" w:themeColor="text1"/>
          <w:sz w:val="24"/>
          <w:szCs w:val="24"/>
          <w:lang w:eastAsia="ru-RU"/>
        </w:rPr>
        <w:t>razvitiya</w:t>
      </w:r>
      <w:proofErr w:type="spellEnd"/>
      <w:r w:rsidRPr="004B2951">
        <w:rPr>
          <w:rFonts w:ascii="Times New Roman" w:eastAsia="Times New Roman" w:hAnsi="Times New Roman" w:cs="Times New Roman"/>
          <w:bCs/>
          <w:color w:val="000000" w:themeColor="text1"/>
          <w:sz w:val="24"/>
          <w:szCs w:val="24"/>
          <w:lang w:eastAsia="ru-RU"/>
        </w:rPr>
        <w:t>/</w:t>
      </w:r>
      <w:proofErr w:type="spellStart"/>
      <w:r w:rsidRPr="004B2951">
        <w:rPr>
          <w:rFonts w:ascii="Times New Roman" w:eastAsia="Times New Roman" w:hAnsi="Times New Roman" w:cs="Times New Roman"/>
          <w:bCs/>
          <w:color w:val="000000" w:themeColor="text1"/>
          <w:sz w:val="24"/>
          <w:szCs w:val="24"/>
          <w:lang w:eastAsia="ru-RU"/>
        </w:rPr>
        <w:t>prognoz</w:t>
      </w:r>
      <w:proofErr w:type="spellEnd"/>
      <w:r w:rsidRPr="004B2951">
        <w:rPr>
          <w:rFonts w:ascii="Times New Roman" w:eastAsia="Times New Roman" w:hAnsi="Times New Roman" w:cs="Times New Roman"/>
          <w:bCs/>
          <w:color w:val="000000" w:themeColor="text1"/>
          <w:sz w:val="24"/>
          <w:szCs w:val="24"/>
          <w:lang w:eastAsia="ru-RU"/>
        </w:rPr>
        <w:t xml:space="preserve"> </w:t>
      </w:r>
      <w:proofErr w:type="spellStart"/>
      <w:r w:rsidRPr="004B2951">
        <w:rPr>
          <w:rFonts w:ascii="Times New Roman" w:eastAsia="Times New Roman" w:hAnsi="Times New Roman" w:cs="Times New Roman"/>
          <w:bCs/>
          <w:color w:val="000000" w:themeColor="text1"/>
          <w:sz w:val="24"/>
          <w:szCs w:val="24"/>
          <w:lang w:eastAsia="ru-RU"/>
        </w:rPr>
        <w:t>socialno</w:t>
      </w:r>
      <w:proofErr w:type="spellEnd"/>
      <w:r w:rsidRPr="004B2951">
        <w:rPr>
          <w:rFonts w:ascii="Times New Roman" w:eastAsia="Times New Roman" w:hAnsi="Times New Roman" w:cs="Times New Roman"/>
          <w:bCs/>
          <w:color w:val="000000" w:themeColor="text1"/>
          <w:sz w:val="24"/>
          <w:szCs w:val="24"/>
          <w:lang w:eastAsia="ru-RU"/>
        </w:rPr>
        <w:t xml:space="preserve"> </w:t>
      </w:r>
      <w:proofErr w:type="spellStart"/>
      <w:r w:rsidRPr="004B2951">
        <w:rPr>
          <w:rFonts w:ascii="Times New Roman" w:eastAsia="Times New Roman" w:hAnsi="Times New Roman" w:cs="Times New Roman"/>
          <w:bCs/>
          <w:color w:val="000000" w:themeColor="text1"/>
          <w:sz w:val="24"/>
          <w:szCs w:val="24"/>
          <w:lang w:eastAsia="ru-RU"/>
        </w:rPr>
        <w:t>ekonomicheskogo</w:t>
      </w:r>
      <w:proofErr w:type="spellEnd"/>
      <w:r w:rsidRPr="004B2951">
        <w:rPr>
          <w:rFonts w:ascii="Times New Roman" w:eastAsia="Times New Roman" w:hAnsi="Times New Roman" w:cs="Times New Roman"/>
          <w:bCs/>
          <w:color w:val="000000" w:themeColor="text1"/>
          <w:sz w:val="24"/>
          <w:szCs w:val="24"/>
          <w:lang w:eastAsia="ru-RU"/>
        </w:rPr>
        <w:t xml:space="preserve"> </w:t>
      </w:r>
      <w:proofErr w:type="spellStart"/>
      <w:r w:rsidRPr="004B2951">
        <w:rPr>
          <w:rFonts w:ascii="Times New Roman" w:eastAsia="Times New Roman" w:hAnsi="Times New Roman" w:cs="Times New Roman"/>
          <w:bCs/>
          <w:color w:val="000000" w:themeColor="text1"/>
          <w:sz w:val="24"/>
          <w:szCs w:val="24"/>
          <w:lang w:eastAsia="ru-RU"/>
        </w:rPr>
        <w:t>razvitiya</w:t>
      </w:r>
      <w:proofErr w:type="spellEnd"/>
      <w:r w:rsidRPr="004B2951">
        <w:rPr>
          <w:rFonts w:ascii="Times New Roman" w:eastAsia="Times New Roman" w:hAnsi="Times New Roman" w:cs="Times New Roman"/>
          <w:bCs/>
          <w:color w:val="000000" w:themeColor="text1"/>
          <w:sz w:val="24"/>
          <w:szCs w:val="24"/>
          <w:lang w:eastAsia="ru-RU"/>
        </w:rPr>
        <w:t xml:space="preserve"> </w:t>
      </w:r>
      <w:proofErr w:type="spellStart"/>
      <w:r w:rsidRPr="004B2951">
        <w:rPr>
          <w:rFonts w:ascii="Times New Roman" w:eastAsia="Times New Roman" w:hAnsi="Times New Roman" w:cs="Times New Roman"/>
          <w:bCs/>
          <w:color w:val="000000" w:themeColor="text1"/>
          <w:sz w:val="24"/>
          <w:szCs w:val="24"/>
          <w:lang w:eastAsia="ru-RU"/>
        </w:rPr>
        <w:t>rf</w:t>
      </w:r>
      <w:proofErr w:type="spellEnd"/>
      <w:r w:rsidRPr="004B2951">
        <w:rPr>
          <w:rFonts w:ascii="Times New Roman" w:eastAsia="Times New Roman" w:hAnsi="Times New Roman" w:cs="Times New Roman"/>
          <w:bCs/>
          <w:color w:val="000000" w:themeColor="text1"/>
          <w:sz w:val="24"/>
          <w:szCs w:val="24"/>
          <w:lang w:eastAsia="ru-RU"/>
        </w:rPr>
        <w:t xml:space="preserve"> </w:t>
      </w:r>
      <w:proofErr w:type="spellStart"/>
      <w:r w:rsidRPr="004B2951">
        <w:rPr>
          <w:rFonts w:ascii="Times New Roman" w:eastAsia="Times New Roman" w:hAnsi="Times New Roman" w:cs="Times New Roman"/>
          <w:bCs/>
          <w:color w:val="000000" w:themeColor="text1"/>
          <w:sz w:val="24"/>
          <w:szCs w:val="24"/>
          <w:lang w:eastAsia="ru-RU"/>
        </w:rPr>
        <w:t>na</w:t>
      </w:r>
      <w:proofErr w:type="spellEnd"/>
      <w:r w:rsidRPr="004B2951">
        <w:rPr>
          <w:rFonts w:ascii="Times New Roman" w:eastAsia="Times New Roman" w:hAnsi="Times New Roman" w:cs="Times New Roman"/>
          <w:bCs/>
          <w:color w:val="000000" w:themeColor="text1"/>
          <w:sz w:val="24"/>
          <w:szCs w:val="24"/>
          <w:lang w:eastAsia="ru-RU"/>
        </w:rPr>
        <w:t xml:space="preserve"> </w:t>
      </w:r>
      <w:proofErr w:type="spellStart"/>
      <w:r w:rsidRPr="004B2951">
        <w:rPr>
          <w:rFonts w:ascii="Times New Roman" w:eastAsia="Times New Roman" w:hAnsi="Times New Roman" w:cs="Times New Roman"/>
          <w:bCs/>
          <w:color w:val="000000" w:themeColor="text1"/>
          <w:sz w:val="24"/>
          <w:szCs w:val="24"/>
          <w:lang w:eastAsia="ru-RU"/>
        </w:rPr>
        <w:t>period</w:t>
      </w:r>
      <w:proofErr w:type="spellEnd"/>
      <w:r w:rsidRPr="004B2951">
        <w:rPr>
          <w:rFonts w:ascii="Times New Roman" w:eastAsia="Times New Roman" w:hAnsi="Times New Roman" w:cs="Times New Roman"/>
          <w:bCs/>
          <w:color w:val="000000" w:themeColor="text1"/>
          <w:sz w:val="24"/>
          <w:szCs w:val="24"/>
          <w:lang w:eastAsia="ru-RU"/>
        </w:rPr>
        <w:t xml:space="preserve"> </w:t>
      </w:r>
      <w:proofErr w:type="spellStart"/>
      <w:r w:rsidRPr="004B2951">
        <w:rPr>
          <w:rFonts w:ascii="Times New Roman" w:eastAsia="Times New Roman" w:hAnsi="Times New Roman" w:cs="Times New Roman"/>
          <w:bCs/>
          <w:color w:val="000000" w:themeColor="text1"/>
          <w:sz w:val="24"/>
          <w:szCs w:val="24"/>
          <w:lang w:eastAsia="ru-RU"/>
        </w:rPr>
        <w:t>do</w:t>
      </w:r>
      <w:proofErr w:type="spellEnd"/>
      <w:r w:rsidRPr="004B2951">
        <w:rPr>
          <w:rFonts w:ascii="Times New Roman" w:eastAsia="Times New Roman" w:hAnsi="Times New Roman" w:cs="Times New Roman"/>
          <w:bCs/>
          <w:color w:val="000000" w:themeColor="text1"/>
          <w:sz w:val="24"/>
          <w:szCs w:val="24"/>
          <w:lang w:eastAsia="ru-RU"/>
        </w:rPr>
        <w:t xml:space="preserve"> 2024 goda.html.</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B2951">
        <w:rPr>
          <w:rFonts w:ascii="Times New Roman" w:eastAsia="Times New Roman" w:hAnsi="Times New Roman" w:cs="Times New Roman"/>
          <w:bCs/>
          <w:color w:val="000000" w:themeColor="text1"/>
          <w:sz w:val="24"/>
          <w:szCs w:val="24"/>
          <w:lang w:eastAsia="ru-RU"/>
        </w:rPr>
        <w:t xml:space="preserve">При расчете индекса прогнозной инфляции используются значения индексов - дефляторов Минэкономразвития России по строке "Инвестиции в основной капитал" для соответствующего периода, приведенные в "Прогнозе индексов дефляторов и индексов цен производителей по видам экономической деятельности до 2024 г.", содержащемся в файле "17) Дефляторы </w:t>
      </w:r>
      <w:proofErr w:type="spellStart"/>
      <w:r w:rsidRPr="004B2951">
        <w:rPr>
          <w:rFonts w:ascii="Times New Roman" w:eastAsia="Times New Roman" w:hAnsi="Times New Roman" w:cs="Times New Roman"/>
          <w:bCs/>
          <w:color w:val="000000" w:themeColor="text1"/>
          <w:sz w:val="24"/>
          <w:szCs w:val="24"/>
          <w:lang w:eastAsia="ru-RU"/>
        </w:rPr>
        <w:t>базовый</w:t>
      </w:r>
      <w:proofErr w:type="gramStart"/>
      <w:r w:rsidRPr="004B2951">
        <w:rPr>
          <w:rFonts w:ascii="Times New Roman" w:eastAsia="Times New Roman" w:hAnsi="Times New Roman" w:cs="Times New Roman"/>
          <w:bCs/>
          <w:color w:val="000000" w:themeColor="text1"/>
          <w:sz w:val="24"/>
          <w:szCs w:val="24"/>
          <w:lang w:eastAsia="ru-RU"/>
        </w:rPr>
        <w:t>.х</w:t>
      </w:r>
      <w:proofErr w:type="gramEnd"/>
      <w:r w:rsidRPr="004B2951">
        <w:rPr>
          <w:rFonts w:ascii="Times New Roman" w:eastAsia="Times New Roman" w:hAnsi="Times New Roman" w:cs="Times New Roman"/>
          <w:bCs/>
          <w:color w:val="000000" w:themeColor="text1"/>
          <w:sz w:val="24"/>
          <w:szCs w:val="24"/>
          <w:lang w:eastAsia="ru-RU"/>
        </w:rPr>
        <w:t>ls</w:t>
      </w:r>
      <w:proofErr w:type="spellEnd"/>
      <w:r w:rsidRPr="004B2951">
        <w:rPr>
          <w:rFonts w:ascii="Times New Roman" w:eastAsia="Times New Roman" w:hAnsi="Times New Roman" w:cs="Times New Roman"/>
          <w:bCs/>
          <w:color w:val="000000" w:themeColor="text1"/>
          <w:sz w:val="24"/>
          <w:szCs w:val="24"/>
          <w:lang w:eastAsia="ru-RU"/>
        </w:rPr>
        <w:t>".</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B2951">
        <w:rPr>
          <w:rFonts w:ascii="Times New Roman" w:eastAsia="Times New Roman" w:hAnsi="Times New Roman" w:cs="Times New Roman"/>
          <w:bCs/>
          <w:color w:val="000000" w:themeColor="text1"/>
          <w:sz w:val="24"/>
          <w:szCs w:val="24"/>
          <w:lang w:eastAsia="ru-RU"/>
        </w:rPr>
        <w:t>Индексы-дефляторы Минэкономразвития России применяются для расчета индекса прогнозной инфляции, используемого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B2951">
        <w:rPr>
          <w:rFonts w:ascii="Times New Roman" w:eastAsia="Times New Roman" w:hAnsi="Times New Roman" w:cs="Times New Roman"/>
          <w:bCs/>
          <w:color w:val="000000" w:themeColor="text1"/>
          <w:sz w:val="24"/>
          <w:szCs w:val="24"/>
          <w:lang w:eastAsia="ru-RU"/>
        </w:rPr>
        <w:t>В случае</w:t>
      </w:r>
      <w:proofErr w:type="gramStart"/>
      <w:r w:rsidRPr="004B2951">
        <w:rPr>
          <w:rFonts w:ascii="Times New Roman" w:eastAsia="Times New Roman" w:hAnsi="Times New Roman" w:cs="Times New Roman"/>
          <w:bCs/>
          <w:color w:val="000000" w:themeColor="text1"/>
          <w:sz w:val="24"/>
          <w:szCs w:val="24"/>
          <w:lang w:eastAsia="ru-RU"/>
        </w:rPr>
        <w:t>,</w:t>
      </w:r>
      <w:proofErr w:type="gramEnd"/>
      <w:r w:rsidRPr="004B2951">
        <w:rPr>
          <w:rFonts w:ascii="Times New Roman" w:eastAsia="Times New Roman" w:hAnsi="Times New Roman" w:cs="Times New Roman"/>
          <w:bCs/>
          <w:color w:val="000000" w:themeColor="text1"/>
          <w:sz w:val="24"/>
          <w:szCs w:val="24"/>
          <w:lang w:eastAsia="ru-RU"/>
        </w:rPr>
        <w:t xml:space="preserve"> если планируемый период строительства (реконструкции, капитального ремонта) составляет до одного календарного года индекс прогнозной инфляции, используемый при определении НМЦК, рассчитывается как среднее арифметическое между индексами-дефляторами Минэкономразвития России, определенными на месяц начала выполнения работ и месяца окончания работ.</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B2951">
        <w:rPr>
          <w:rFonts w:ascii="Times New Roman" w:eastAsia="Times New Roman" w:hAnsi="Times New Roman" w:cs="Times New Roman"/>
          <w:bCs/>
          <w:color w:val="000000" w:themeColor="text1"/>
          <w:sz w:val="24"/>
          <w:szCs w:val="24"/>
          <w:lang w:eastAsia="ru-RU"/>
        </w:rPr>
        <w:t>Расчет индекса-дефлятора Минэкономразвития России на один месяц осуществляется извлечением корня двенадцатой степени индекса прогнозной инфляции Минэкономразвития России установленного в целом на год.</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B2951">
        <w:rPr>
          <w:rFonts w:ascii="Times New Roman" w:eastAsia="Times New Roman" w:hAnsi="Times New Roman" w:cs="Times New Roman"/>
          <w:bCs/>
          <w:color w:val="000000" w:themeColor="text1"/>
          <w:sz w:val="24"/>
          <w:szCs w:val="24"/>
          <w:lang w:eastAsia="ru-RU"/>
        </w:rPr>
        <w:t>Для определения размера индекса прогнозной инфляции для периода в несколько месяцев, величина индекса-дефлятора Минэкономразвития России,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B2951">
        <w:rPr>
          <w:rFonts w:ascii="Times New Roman" w:eastAsia="Times New Roman" w:hAnsi="Times New Roman" w:cs="Times New Roman"/>
          <w:bCs/>
          <w:color w:val="000000" w:themeColor="text1"/>
          <w:sz w:val="24"/>
          <w:szCs w:val="24"/>
          <w:lang w:eastAsia="ru-RU"/>
        </w:rPr>
        <w:t xml:space="preserve">При отсутствии информации о лимитах капитальных вложений по годам реализации проекта, величина доли стоимости строительства на каждый год определяется </w:t>
      </w:r>
      <w:r w:rsidRPr="004B2951">
        <w:rPr>
          <w:rFonts w:ascii="Times New Roman" w:eastAsia="Times New Roman" w:hAnsi="Times New Roman" w:cs="Times New Roman"/>
          <w:bCs/>
          <w:color w:val="000000" w:themeColor="text1"/>
          <w:sz w:val="24"/>
          <w:szCs w:val="24"/>
          <w:lang w:eastAsia="ru-RU"/>
        </w:rPr>
        <w:lastRenderedPageBreak/>
        <w:t>как отношение количества месяцев, на которые приходится выполнение работ к общей продолжительности строительства в соответствии с проектной документацией.</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proofErr w:type="gramStart"/>
      <w:r w:rsidRPr="004B2951">
        <w:rPr>
          <w:rFonts w:ascii="Times New Roman" w:eastAsia="Times New Roman" w:hAnsi="Times New Roman" w:cs="Times New Roman"/>
          <w:bCs/>
          <w:color w:val="000000" w:themeColor="text1"/>
          <w:sz w:val="24"/>
          <w:szCs w:val="24"/>
          <w:lang w:eastAsia="ru-RU"/>
        </w:rPr>
        <w:t>В соответствии </w:t>
      </w:r>
      <w:r w:rsidRPr="00403298">
        <w:rPr>
          <w:rFonts w:ascii="Times New Roman" w:eastAsia="Times New Roman" w:hAnsi="Times New Roman" w:cs="Times New Roman"/>
          <w:bCs/>
          <w:color w:val="000000" w:themeColor="text1"/>
          <w:sz w:val="24"/>
          <w:szCs w:val="24"/>
          <w:lang w:eastAsia="ru-RU"/>
        </w:rPr>
        <w:t>пунктом 10</w:t>
      </w:r>
      <w:r w:rsidRPr="004B2951">
        <w:rPr>
          <w:rFonts w:ascii="Times New Roman" w:eastAsia="Times New Roman" w:hAnsi="Times New Roman" w:cs="Times New Roman"/>
          <w:bCs/>
          <w:color w:val="000000" w:themeColor="text1"/>
          <w:sz w:val="24"/>
          <w:szCs w:val="24"/>
          <w:lang w:eastAsia="ru-RU"/>
        </w:rPr>
        <w:t> Порядка определения НМЦК при осуществлении закупок подрядных работ по инженерным изысканиям и (или) по подготовке проектной документации НМЦК определяется с применением методов, предусмотренных </w:t>
      </w:r>
      <w:r w:rsidRPr="00403298">
        <w:rPr>
          <w:rFonts w:ascii="Times New Roman" w:eastAsia="Times New Roman" w:hAnsi="Times New Roman" w:cs="Times New Roman"/>
          <w:bCs/>
          <w:color w:val="000000" w:themeColor="text1"/>
          <w:sz w:val="24"/>
          <w:szCs w:val="24"/>
          <w:lang w:eastAsia="ru-RU"/>
        </w:rPr>
        <w:t>частью 1 статьи 22</w:t>
      </w:r>
      <w:r w:rsidRPr="004B2951">
        <w:rPr>
          <w:rFonts w:ascii="Times New Roman" w:eastAsia="Times New Roman" w:hAnsi="Times New Roman" w:cs="Times New Roman"/>
          <w:bCs/>
          <w:color w:val="000000" w:themeColor="text1"/>
          <w:sz w:val="24"/>
          <w:szCs w:val="24"/>
          <w:lang w:eastAsia="ru-RU"/>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том числе с составлением</w:t>
      </w:r>
      <w:proofErr w:type="gramEnd"/>
      <w:r w:rsidRPr="004B2951">
        <w:rPr>
          <w:rFonts w:ascii="Times New Roman" w:eastAsia="Times New Roman" w:hAnsi="Times New Roman" w:cs="Times New Roman"/>
          <w:bCs/>
          <w:color w:val="000000" w:themeColor="text1"/>
          <w:sz w:val="24"/>
          <w:szCs w:val="24"/>
          <w:lang w:eastAsia="ru-RU"/>
        </w:rPr>
        <w:t xml:space="preserve">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w:t>
      </w:r>
      <w:r w:rsidRPr="00403298">
        <w:rPr>
          <w:rFonts w:ascii="Times New Roman" w:eastAsia="Times New Roman" w:hAnsi="Times New Roman" w:cs="Times New Roman"/>
          <w:bCs/>
          <w:color w:val="000000" w:themeColor="text1"/>
          <w:sz w:val="24"/>
          <w:szCs w:val="24"/>
          <w:lang w:eastAsia="ru-RU"/>
        </w:rPr>
        <w:t>Порядком</w:t>
      </w:r>
      <w:r w:rsidRPr="004B2951">
        <w:rPr>
          <w:rFonts w:ascii="Times New Roman" w:eastAsia="Times New Roman" w:hAnsi="Times New Roman" w:cs="Times New Roman"/>
          <w:bCs/>
          <w:color w:val="000000" w:themeColor="text1"/>
          <w:sz w:val="24"/>
          <w:szCs w:val="24"/>
          <w:lang w:eastAsia="ru-RU"/>
        </w:rPr>
        <w:t> формирования и ведения федерального реестра сметных нормативов, утвержденным </w:t>
      </w:r>
      <w:r w:rsidRPr="00403298">
        <w:rPr>
          <w:rFonts w:ascii="Times New Roman" w:eastAsia="Times New Roman" w:hAnsi="Times New Roman" w:cs="Times New Roman"/>
          <w:bCs/>
          <w:color w:val="000000" w:themeColor="text1"/>
          <w:sz w:val="24"/>
          <w:szCs w:val="24"/>
          <w:lang w:eastAsia="ru-RU"/>
        </w:rPr>
        <w:t>приказом</w:t>
      </w:r>
      <w:r w:rsidRPr="004B2951">
        <w:rPr>
          <w:rFonts w:ascii="Times New Roman" w:eastAsia="Times New Roman" w:hAnsi="Times New Roman" w:cs="Times New Roman"/>
          <w:bCs/>
          <w:color w:val="000000" w:themeColor="text1"/>
          <w:sz w:val="24"/>
          <w:szCs w:val="24"/>
          <w:lang w:eastAsia="ru-RU"/>
        </w:rPr>
        <w:t> Министерства строительства и жилищно-коммунального хозяйства Российской Федерации от 24 октября 2017 г. N 1470/</w:t>
      </w:r>
      <w:proofErr w:type="spellStart"/>
      <w:proofErr w:type="gramStart"/>
      <w:r w:rsidRPr="004B2951">
        <w:rPr>
          <w:rFonts w:ascii="Times New Roman" w:eastAsia="Times New Roman" w:hAnsi="Times New Roman" w:cs="Times New Roman"/>
          <w:bCs/>
          <w:color w:val="000000" w:themeColor="text1"/>
          <w:sz w:val="24"/>
          <w:szCs w:val="24"/>
          <w:lang w:eastAsia="ru-RU"/>
        </w:rPr>
        <w:t>пр</w:t>
      </w:r>
      <w:proofErr w:type="spellEnd"/>
      <w:proofErr w:type="gramEnd"/>
      <w:r w:rsidRPr="004B2951">
        <w:rPr>
          <w:rFonts w:ascii="Times New Roman" w:eastAsia="Times New Roman" w:hAnsi="Times New Roman" w:cs="Times New Roman"/>
          <w:bCs/>
          <w:color w:val="000000" w:themeColor="text1"/>
          <w:sz w:val="24"/>
          <w:szCs w:val="24"/>
          <w:lang w:eastAsia="ru-RU"/>
        </w:rPr>
        <w:t xml:space="preserve"> (зарегистрирован в Минюсте России 14 мая 2018 г N 51079).</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B2951">
        <w:rPr>
          <w:rFonts w:ascii="Times New Roman" w:eastAsia="Times New Roman" w:hAnsi="Times New Roman" w:cs="Times New Roman"/>
          <w:bCs/>
          <w:color w:val="000000" w:themeColor="text1"/>
          <w:sz w:val="24"/>
          <w:szCs w:val="24"/>
          <w:lang w:eastAsia="ru-RU"/>
        </w:rPr>
        <w:t>Следует отметить, что основным методом определения НМЦК при осуществлении закупок подрядных работ по инженерным изысканиям и (или) по подготовке проектной документации является проектно-сметный метод расчета, выполняемый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proofErr w:type="gramStart"/>
      <w:r w:rsidRPr="004B2951">
        <w:rPr>
          <w:rFonts w:ascii="Times New Roman" w:eastAsia="Times New Roman" w:hAnsi="Times New Roman" w:cs="Times New Roman"/>
          <w:bCs/>
          <w:color w:val="000000" w:themeColor="text1"/>
          <w:sz w:val="24"/>
          <w:szCs w:val="24"/>
          <w:lang w:eastAsia="ru-RU"/>
        </w:rPr>
        <w:t>Применение иных методов, предусмотренных </w:t>
      </w:r>
      <w:r w:rsidRPr="00403298">
        <w:rPr>
          <w:rFonts w:ascii="Times New Roman" w:eastAsia="Times New Roman" w:hAnsi="Times New Roman" w:cs="Times New Roman"/>
          <w:bCs/>
          <w:color w:val="000000" w:themeColor="text1"/>
          <w:sz w:val="24"/>
          <w:szCs w:val="24"/>
          <w:lang w:eastAsia="ru-RU"/>
        </w:rPr>
        <w:t>частью 1 статьи 22</w:t>
      </w:r>
      <w:r w:rsidRPr="004B2951">
        <w:rPr>
          <w:rFonts w:ascii="Times New Roman" w:eastAsia="Times New Roman" w:hAnsi="Times New Roman" w:cs="Times New Roman"/>
          <w:bCs/>
          <w:color w:val="000000" w:themeColor="text1"/>
          <w:sz w:val="24"/>
          <w:szCs w:val="24"/>
          <w:lang w:eastAsia="ru-RU"/>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том числе метода сопоставимых рыночных цен, рекомендуется использовать при отсутствии соответствующих сметных нормативов на проектные работы и (или) инженерные изыскания, включенных в федеральный реестр сметных нормативов, формируемый</w:t>
      </w:r>
      <w:proofErr w:type="gramEnd"/>
      <w:r w:rsidRPr="004B2951">
        <w:rPr>
          <w:rFonts w:ascii="Times New Roman" w:eastAsia="Times New Roman" w:hAnsi="Times New Roman" w:cs="Times New Roman"/>
          <w:bCs/>
          <w:color w:val="000000" w:themeColor="text1"/>
          <w:sz w:val="24"/>
          <w:szCs w:val="24"/>
          <w:lang w:eastAsia="ru-RU"/>
        </w:rPr>
        <w:t xml:space="preserve"> Министерством строительства и жилищно-коммунального хозяйства Российской Федерации.</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proofErr w:type="gramStart"/>
      <w:r w:rsidRPr="004B2951">
        <w:rPr>
          <w:rFonts w:ascii="Times New Roman" w:eastAsia="Times New Roman" w:hAnsi="Times New Roman" w:cs="Times New Roman"/>
          <w:bCs/>
          <w:color w:val="000000" w:themeColor="text1"/>
          <w:sz w:val="24"/>
          <w:szCs w:val="24"/>
          <w:lang w:eastAsia="ru-RU"/>
        </w:rPr>
        <w:t>В части применения </w:t>
      </w:r>
      <w:r w:rsidRPr="00403298">
        <w:rPr>
          <w:rFonts w:ascii="Times New Roman" w:eastAsia="Times New Roman" w:hAnsi="Times New Roman" w:cs="Times New Roman"/>
          <w:bCs/>
          <w:color w:val="000000" w:themeColor="text1"/>
          <w:sz w:val="24"/>
          <w:szCs w:val="24"/>
          <w:lang w:eastAsia="ru-RU"/>
        </w:rPr>
        <w:t>пункта 13</w:t>
      </w:r>
      <w:r w:rsidRPr="004B2951">
        <w:rPr>
          <w:rFonts w:ascii="Times New Roman" w:eastAsia="Times New Roman" w:hAnsi="Times New Roman" w:cs="Times New Roman"/>
          <w:bCs/>
          <w:color w:val="000000" w:themeColor="text1"/>
          <w:sz w:val="24"/>
          <w:szCs w:val="24"/>
          <w:lang w:eastAsia="ru-RU"/>
        </w:rPr>
        <w:t> Порядка определения начальной (максимальной) цены контракта сообщается, что при осуществлении закупочных процедур на выполнение работ по подготовке проектной документации и работ на выполнение инженерных изысканий отдельными лотами, НМЦК на выполнение указанных работ также рассчитывается отдельно для работ по подготовке проектной документации, и отдельно для работ на выполнение инженерных изысканий.</w:t>
      </w:r>
      <w:proofErr w:type="gramEnd"/>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proofErr w:type="gramStart"/>
      <w:r w:rsidRPr="004B2951">
        <w:rPr>
          <w:rFonts w:ascii="Times New Roman" w:eastAsia="Times New Roman" w:hAnsi="Times New Roman" w:cs="Times New Roman"/>
          <w:bCs/>
          <w:color w:val="000000" w:themeColor="text1"/>
          <w:sz w:val="24"/>
          <w:szCs w:val="24"/>
          <w:lang w:eastAsia="ru-RU"/>
        </w:rPr>
        <w:t>Дополнительно сообщается, что письма Минстроя России, его структурных подразделений и подведомственных ему организаций по вопросам применения законодательства о градостроительной деятельности в Российской Федерации не содержат правовых норм или общих правил, конкретизирующих нормативные предписания и не направлены на установление, изменение или отмену правовых норм, не являются нормативными правовыми актами вне зависимости от того, дано ли разъяснение конкретному заявителю либо неопределенному кругу</w:t>
      </w:r>
      <w:proofErr w:type="gramEnd"/>
      <w:r w:rsidRPr="004B2951">
        <w:rPr>
          <w:rFonts w:ascii="Times New Roman" w:eastAsia="Times New Roman" w:hAnsi="Times New Roman" w:cs="Times New Roman"/>
          <w:bCs/>
          <w:color w:val="000000" w:themeColor="text1"/>
          <w:sz w:val="24"/>
          <w:szCs w:val="24"/>
          <w:lang w:eastAsia="ru-RU"/>
        </w:rPr>
        <w:t xml:space="preserve"> лиц, а также не подлежат подготовке и регистрации в соответствии с </w:t>
      </w:r>
      <w:r w:rsidRPr="00403298">
        <w:rPr>
          <w:rFonts w:ascii="Times New Roman" w:eastAsia="Times New Roman" w:hAnsi="Times New Roman" w:cs="Times New Roman"/>
          <w:bCs/>
          <w:color w:val="000000" w:themeColor="text1"/>
          <w:sz w:val="24"/>
          <w:szCs w:val="24"/>
          <w:lang w:eastAsia="ru-RU"/>
        </w:rPr>
        <w:t>Правилами</w:t>
      </w:r>
      <w:r w:rsidRPr="004B2951">
        <w:rPr>
          <w:rFonts w:ascii="Times New Roman" w:eastAsia="Times New Roman" w:hAnsi="Times New Roman" w:cs="Times New Roman"/>
          <w:bCs/>
          <w:color w:val="000000" w:themeColor="text1"/>
          <w:sz w:val="24"/>
          <w:szCs w:val="24"/>
          <w:lang w:eastAsia="ru-RU"/>
        </w:rPr>
        <w:t> подготовки нормативных правовых актов федеральных органов исполнительной власти и их государственной регистрации, установленными </w:t>
      </w:r>
      <w:r w:rsidRPr="00403298">
        <w:rPr>
          <w:rFonts w:ascii="Times New Roman" w:eastAsia="Times New Roman" w:hAnsi="Times New Roman" w:cs="Times New Roman"/>
          <w:bCs/>
          <w:color w:val="000000" w:themeColor="text1"/>
          <w:sz w:val="24"/>
          <w:szCs w:val="24"/>
          <w:lang w:eastAsia="ru-RU"/>
        </w:rPr>
        <w:t>Постановлением</w:t>
      </w:r>
      <w:r w:rsidRPr="004B2951">
        <w:rPr>
          <w:rFonts w:ascii="Times New Roman" w:eastAsia="Times New Roman" w:hAnsi="Times New Roman" w:cs="Times New Roman"/>
          <w:bCs/>
          <w:color w:val="000000" w:themeColor="text1"/>
          <w:sz w:val="24"/>
          <w:szCs w:val="24"/>
          <w:lang w:eastAsia="ru-RU"/>
        </w:rPr>
        <w:t> Правительства Российской Федерации от 13 августа 1997 г. N 1009.</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proofErr w:type="gramStart"/>
      <w:r w:rsidRPr="004B2951">
        <w:rPr>
          <w:rFonts w:ascii="Times New Roman" w:eastAsia="Times New Roman" w:hAnsi="Times New Roman" w:cs="Times New Roman"/>
          <w:bCs/>
          <w:color w:val="000000" w:themeColor="text1"/>
          <w:sz w:val="24"/>
          <w:szCs w:val="24"/>
          <w:lang w:eastAsia="ru-RU"/>
        </w:rPr>
        <w:t>Таким образом, разъяснения Минстроя России, его структурных подразделений и подведомственных ему организаций не отвечают критериям нормативного правового акта, а потому не могут иметь юридического значения и порождать правовые последствия для неопределенного круга лиц, но вместе с тем имеют информационно-разъяснительный характер по вопросам применения законодательства о градостроительной деятельности и не препятствуют руководствоваться нормами градостроительного законодательства в понимании, отличающемся от трактовки, изложенной</w:t>
      </w:r>
      <w:proofErr w:type="gramEnd"/>
      <w:r w:rsidRPr="004B2951">
        <w:rPr>
          <w:rFonts w:ascii="Times New Roman" w:eastAsia="Times New Roman" w:hAnsi="Times New Roman" w:cs="Times New Roman"/>
          <w:bCs/>
          <w:color w:val="000000" w:themeColor="text1"/>
          <w:sz w:val="24"/>
          <w:szCs w:val="24"/>
          <w:lang w:eastAsia="ru-RU"/>
        </w:rPr>
        <w:t xml:space="preserve"> в письмах.</w:t>
      </w:r>
    </w:p>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B2951">
        <w:rPr>
          <w:rFonts w:ascii="Times New Roman" w:eastAsia="Times New Roman" w:hAnsi="Times New Roman" w:cs="Times New Roman"/>
          <w:bCs/>
          <w:color w:val="000000" w:themeColor="text1"/>
          <w:sz w:val="24"/>
          <w:szCs w:val="24"/>
          <w:lang w:eastAsia="ru-RU"/>
        </w:rPr>
        <w:lastRenderedPageBreak/>
        <w:t> </w:t>
      </w:r>
    </w:p>
    <w:tbl>
      <w:tblPr>
        <w:tblW w:w="5000" w:type="pct"/>
        <w:tblCellMar>
          <w:left w:w="0" w:type="dxa"/>
          <w:right w:w="0" w:type="dxa"/>
        </w:tblCellMar>
        <w:tblLook w:val="04A0"/>
      </w:tblPr>
      <w:tblGrid>
        <w:gridCol w:w="6236"/>
        <w:gridCol w:w="3119"/>
      </w:tblGrid>
      <w:tr w:rsidR="004B2951" w:rsidRPr="004B2951" w:rsidTr="004B2951">
        <w:tc>
          <w:tcPr>
            <w:tcW w:w="3300" w:type="pct"/>
            <w:vAlign w:val="bottom"/>
            <w:hideMark/>
          </w:tcPr>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B2951">
              <w:rPr>
                <w:rFonts w:ascii="Times New Roman" w:eastAsia="Times New Roman" w:hAnsi="Times New Roman" w:cs="Times New Roman"/>
                <w:bCs/>
                <w:color w:val="000000" w:themeColor="text1"/>
                <w:sz w:val="24"/>
                <w:szCs w:val="24"/>
                <w:lang w:eastAsia="ru-RU"/>
              </w:rPr>
              <w:t>Директор</w:t>
            </w:r>
            <w:r w:rsidRPr="004B2951">
              <w:rPr>
                <w:rFonts w:ascii="Times New Roman" w:eastAsia="Times New Roman" w:hAnsi="Times New Roman" w:cs="Times New Roman"/>
                <w:bCs/>
                <w:color w:val="000000" w:themeColor="text1"/>
                <w:sz w:val="24"/>
                <w:szCs w:val="24"/>
                <w:lang w:eastAsia="ru-RU"/>
              </w:rPr>
              <w:br/>
              <w:t>Департамента ценообразования</w:t>
            </w:r>
            <w:r w:rsidRPr="004B2951">
              <w:rPr>
                <w:rFonts w:ascii="Times New Roman" w:eastAsia="Times New Roman" w:hAnsi="Times New Roman" w:cs="Times New Roman"/>
                <w:bCs/>
                <w:color w:val="000000" w:themeColor="text1"/>
                <w:sz w:val="24"/>
                <w:szCs w:val="24"/>
                <w:lang w:eastAsia="ru-RU"/>
              </w:rPr>
              <w:br/>
              <w:t>и градостроительного зонирования</w:t>
            </w:r>
          </w:p>
        </w:tc>
        <w:tc>
          <w:tcPr>
            <w:tcW w:w="1650" w:type="pct"/>
            <w:vAlign w:val="bottom"/>
            <w:hideMark/>
          </w:tcPr>
          <w:p w:rsidR="004B2951" w:rsidRPr="004B2951" w:rsidRDefault="004B2951" w:rsidP="004B2951">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B2951">
              <w:rPr>
                <w:rFonts w:ascii="Times New Roman" w:eastAsia="Times New Roman" w:hAnsi="Times New Roman" w:cs="Times New Roman"/>
                <w:bCs/>
                <w:color w:val="000000" w:themeColor="text1"/>
                <w:sz w:val="24"/>
                <w:szCs w:val="24"/>
                <w:lang w:eastAsia="ru-RU"/>
              </w:rPr>
              <w:t>И.В. </w:t>
            </w:r>
            <w:proofErr w:type="spellStart"/>
            <w:r w:rsidRPr="004B2951">
              <w:rPr>
                <w:rFonts w:ascii="Times New Roman" w:eastAsia="Times New Roman" w:hAnsi="Times New Roman" w:cs="Times New Roman"/>
                <w:bCs/>
                <w:color w:val="000000" w:themeColor="text1"/>
                <w:sz w:val="24"/>
                <w:szCs w:val="24"/>
                <w:lang w:eastAsia="ru-RU"/>
              </w:rPr>
              <w:t>Тютьмина</w:t>
            </w:r>
            <w:proofErr w:type="spellEnd"/>
          </w:p>
        </w:tc>
      </w:tr>
    </w:tbl>
    <w:p w:rsidR="00B01B94" w:rsidRPr="00403298" w:rsidRDefault="00B01B94" w:rsidP="004B2951">
      <w:pPr>
        <w:ind w:firstLine="709"/>
        <w:jc w:val="both"/>
        <w:rPr>
          <w:rFonts w:ascii="Times New Roman" w:hAnsi="Times New Roman" w:cs="Times New Roman"/>
          <w:color w:val="000000" w:themeColor="text1"/>
          <w:sz w:val="24"/>
          <w:szCs w:val="24"/>
        </w:rPr>
      </w:pPr>
    </w:p>
    <w:sectPr w:rsidR="00B01B94" w:rsidRPr="00403298"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C46CA"/>
    <w:rsid w:val="003636AE"/>
    <w:rsid w:val="00403298"/>
    <w:rsid w:val="00490505"/>
    <w:rsid w:val="004B2951"/>
    <w:rsid w:val="00680B37"/>
    <w:rsid w:val="009C46CA"/>
    <w:rsid w:val="009E1445"/>
    <w:rsid w:val="00B01B94"/>
    <w:rsid w:val="00EE7F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9C46CA"/>
  </w:style>
  <w:style w:type="character" w:customStyle="1" w:styleId="nobr">
    <w:name w:val="nobr"/>
    <w:basedOn w:val="a0"/>
    <w:rsid w:val="009C46CA"/>
  </w:style>
  <w:style w:type="character" w:styleId="a3">
    <w:name w:val="Hyperlink"/>
    <w:basedOn w:val="a0"/>
    <w:uiPriority w:val="99"/>
    <w:semiHidden/>
    <w:unhideWhenUsed/>
    <w:rsid w:val="009C46CA"/>
    <w:rPr>
      <w:color w:val="0000FF"/>
      <w:u w:val="single"/>
    </w:rPr>
  </w:style>
  <w:style w:type="paragraph" w:customStyle="1" w:styleId="s3">
    <w:name w:val="s_3"/>
    <w:basedOn w:val="a"/>
    <w:rsid w:val="004B29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4B29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B29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4B29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5587501">
      <w:bodyDiv w:val="1"/>
      <w:marLeft w:val="0"/>
      <w:marRight w:val="0"/>
      <w:marTop w:val="0"/>
      <w:marBottom w:val="0"/>
      <w:divBdr>
        <w:top w:val="none" w:sz="0" w:space="0" w:color="auto"/>
        <w:left w:val="none" w:sz="0" w:space="0" w:color="auto"/>
        <w:bottom w:val="none" w:sz="0" w:space="0" w:color="auto"/>
        <w:right w:val="none" w:sz="0" w:space="0" w:color="auto"/>
      </w:divBdr>
      <w:divsChild>
        <w:div w:id="652486917">
          <w:marLeft w:val="0"/>
          <w:marRight w:val="0"/>
          <w:marTop w:val="0"/>
          <w:marBottom w:val="125"/>
          <w:divBdr>
            <w:top w:val="none" w:sz="0" w:space="0" w:color="auto"/>
            <w:left w:val="none" w:sz="0" w:space="0" w:color="auto"/>
            <w:bottom w:val="none" w:sz="0" w:space="0" w:color="auto"/>
            <w:right w:val="none" w:sz="0" w:space="0" w:color="auto"/>
          </w:divBdr>
        </w:div>
        <w:div w:id="692539553">
          <w:marLeft w:val="0"/>
          <w:marRight w:val="0"/>
          <w:marTop w:val="120"/>
          <w:marBottom w:val="0"/>
          <w:divBdr>
            <w:top w:val="none" w:sz="0" w:space="0" w:color="auto"/>
            <w:left w:val="none" w:sz="0" w:space="0" w:color="auto"/>
            <w:bottom w:val="none" w:sz="0" w:space="0" w:color="auto"/>
            <w:right w:val="none" w:sz="0" w:space="0" w:color="auto"/>
          </w:divBdr>
        </w:div>
        <w:div w:id="1125002010">
          <w:marLeft w:val="0"/>
          <w:marRight w:val="0"/>
          <w:marTop w:val="120"/>
          <w:marBottom w:val="0"/>
          <w:divBdr>
            <w:top w:val="none" w:sz="0" w:space="0" w:color="auto"/>
            <w:left w:val="none" w:sz="0" w:space="0" w:color="auto"/>
            <w:bottom w:val="none" w:sz="0" w:space="0" w:color="auto"/>
            <w:right w:val="none" w:sz="0" w:space="0" w:color="auto"/>
          </w:divBdr>
        </w:div>
        <w:div w:id="230163056">
          <w:marLeft w:val="0"/>
          <w:marRight w:val="0"/>
          <w:marTop w:val="120"/>
          <w:marBottom w:val="0"/>
          <w:divBdr>
            <w:top w:val="none" w:sz="0" w:space="0" w:color="auto"/>
            <w:left w:val="none" w:sz="0" w:space="0" w:color="auto"/>
            <w:bottom w:val="none" w:sz="0" w:space="0" w:color="auto"/>
            <w:right w:val="none" w:sz="0" w:space="0" w:color="auto"/>
          </w:divBdr>
        </w:div>
        <w:div w:id="259795027">
          <w:marLeft w:val="0"/>
          <w:marRight w:val="0"/>
          <w:marTop w:val="120"/>
          <w:marBottom w:val="0"/>
          <w:divBdr>
            <w:top w:val="none" w:sz="0" w:space="0" w:color="auto"/>
            <w:left w:val="none" w:sz="0" w:space="0" w:color="auto"/>
            <w:bottom w:val="none" w:sz="0" w:space="0" w:color="auto"/>
            <w:right w:val="none" w:sz="0" w:space="0" w:color="auto"/>
          </w:divBdr>
        </w:div>
        <w:div w:id="22679932">
          <w:marLeft w:val="0"/>
          <w:marRight w:val="0"/>
          <w:marTop w:val="120"/>
          <w:marBottom w:val="0"/>
          <w:divBdr>
            <w:top w:val="none" w:sz="0" w:space="0" w:color="auto"/>
            <w:left w:val="none" w:sz="0" w:space="0" w:color="auto"/>
            <w:bottom w:val="none" w:sz="0" w:space="0" w:color="auto"/>
            <w:right w:val="none" w:sz="0" w:space="0" w:color="auto"/>
          </w:divBdr>
        </w:div>
        <w:div w:id="1235968095">
          <w:marLeft w:val="0"/>
          <w:marRight w:val="0"/>
          <w:marTop w:val="120"/>
          <w:marBottom w:val="0"/>
          <w:divBdr>
            <w:top w:val="none" w:sz="0" w:space="0" w:color="auto"/>
            <w:left w:val="none" w:sz="0" w:space="0" w:color="auto"/>
            <w:bottom w:val="none" w:sz="0" w:space="0" w:color="auto"/>
            <w:right w:val="none" w:sz="0" w:space="0" w:color="auto"/>
          </w:divBdr>
        </w:div>
        <w:div w:id="1211961172">
          <w:marLeft w:val="0"/>
          <w:marRight w:val="0"/>
          <w:marTop w:val="120"/>
          <w:marBottom w:val="0"/>
          <w:divBdr>
            <w:top w:val="none" w:sz="0" w:space="0" w:color="auto"/>
            <w:left w:val="none" w:sz="0" w:space="0" w:color="auto"/>
            <w:bottom w:val="none" w:sz="0" w:space="0" w:color="auto"/>
            <w:right w:val="none" w:sz="0" w:space="0" w:color="auto"/>
          </w:divBdr>
        </w:div>
        <w:div w:id="554925155">
          <w:marLeft w:val="0"/>
          <w:marRight w:val="0"/>
          <w:marTop w:val="120"/>
          <w:marBottom w:val="0"/>
          <w:divBdr>
            <w:top w:val="none" w:sz="0" w:space="0" w:color="auto"/>
            <w:left w:val="none" w:sz="0" w:space="0" w:color="auto"/>
            <w:bottom w:val="none" w:sz="0" w:space="0" w:color="auto"/>
            <w:right w:val="none" w:sz="0" w:space="0" w:color="auto"/>
          </w:divBdr>
        </w:div>
        <w:div w:id="119344821">
          <w:marLeft w:val="0"/>
          <w:marRight w:val="0"/>
          <w:marTop w:val="120"/>
          <w:marBottom w:val="0"/>
          <w:divBdr>
            <w:top w:val="none" w:sz="0" w:space="0" w:color="auto"/>
            <w:left w:val="none" w:sz="0" w:space="0" w:color="auto"/>
            <w:bottom w:val="none" w:sz="0" w:space="0" w:color="auto"/>
            <w:right w:val="none" w:sz="0" w:space="0" w:color="auto"/>
          </w:divBdr>
        </w:div>
        <w:div w:id="1397243595">
          <w:marLeft w:val="0"/>
          <w:marRight w:val="0"/>
          <w:marTop w:val="120"/>
          <w:marBottom w:val="0"/>
          <w:divBdr>
            <w:top w:val="none" w:sz="0" w:space="0" w:color="auto"/>
            <w:left w:val="none" w:sz="0" w:space="0" w:color="auto"/>
            <w:bottom w:val="none" w:sz="0" w:space="0" w:color="auto"/>
            <w:right w:val="none" w:sz="0" w:space="0" w:color="auto"/>
          </w:divBdr>
        </w:div>
        <w:div w:id="9376644">
          <w:marLeft w:val="0"/>
          <w:marRight w:val="0"/>
          <w:marTop w:val="120"/>
          <w:marBottom w:val="0"/>
          <w:divBdr>
            <w:top w:val="none" w:sz="0" w:space="0" w:color="auto"/>
            <w:left w:val="none" w:sz="0" w:space="0" w:color="auto"/>
            <w:bottom w:val="none" w:sz="0" w:space="0" w:color="auto"/>
            <w:right w:val="none" w:sz="0" w:space="0" w:color="auto"/>
          </w:divBdr>
        </w:div>
        <w:div w:id="1278944967">
          <w:marLeft w:val="0"/>
          <w:marRight w:val="0"/>
          <w:marTop w:val="120"/>
          <w:marBottom w:val="0"/>
          <w:divBdr>
            <w:top w:val="none" w:sz="0" w:space="0" w:color="auto"/>
            <w:left w:val="none" w:sz="0" w:space="0" w:color="auto"/>
            <w:bottom w:val="none" w:sz="0" w:space="0" w:color="auto"/>
            <w:right w:val="none" w:sz="0" w:space="0" w:color="auto"/>
          </w:divBdr>
        </w:div>
        <w:div w:id="913583030">
          <w:marLeft w:val="0"/>
          <w:marRight w:val="0"/>
          <w:marTop w:val="120"/>
          <w:marBottom w:val="0"/>
          <w:divBdr>
            <w:top w:val="none" w:sz="0" w:space="0" w:color="auto"/>
            <w:left w:val="none" w:sz="0" w:space="0" w:color="auto"/>
            <w:bottom w:val="none" w:sz="0" w:space="0" w:color="auto"/>
            <w:right w:val="none" w:sz="0" w:space="0" w:color="auto"/>
          </w:divBdr>
        </w:div>
      </w:divsChild>
    </w:div>
    <w:div w:id="19243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1673</Words>
  <Characters>9542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2020-04-03T06:03:00Z</dcterms:created>
  <dcterms:modified xsi:type="dcterms:W3CDTF">2020-04-03T06:03:00Z</dcterms:modified>
</cp:coreProperties>
</file>