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650" w:rsidRPr="00D54650" w:rsidRDefault="00D54650" w:rsidP="00D54650">
      <w:pPr>
        <w:spacing w:after="0" w:line="240" w:lineRule="auto"/>
        <w:jc w:val="center"/>
        <w:rPr>
          <w:rFonts w:ascii="Verdana" w:eastAsia="Times New Roman" w:hAnsi="Verdana" w:cs="Times New Roman"/>
          <w:b/>
          <w:bCs/>
          <w:sz w:val="21"/>
          <w:szCs w:val="21"/>
          <w:lang w:eastAsia="ru-RU"/>
        </w:rPr>
      </w:pPr>
      <w:r w:rsidRPr="00D54650">
        <w:rPr>
          <w:rFonts w:ascii="Arial" w:eastAsia="Times New Roman" w:hAnsi="Arial" w:cs="Arial"/>
          <w:b/>
          <w:bCs/>
          <w:sz w:val="24"/>
          <w:szCs w:val="24"/>
          <w:lang w:eastAsia="ru-RU"/>
        </w:rPr>
        <w:t>МИНИСТЕРСТВО ФИНАНСОВ РОССИЙСКОЙ ФЕДЕРАЦИИ</w:t>
      </w:r>
    </w:p>
    <w:p w:rsidR="00D54650" w:rsidRPr="00D54650" w:rsidRDefault="00D54650" w:rsidP="00D54650">
      <w:pPr>
        <w:spacing w:after="0" w:line="240" w:lineRule="auto"/>
        <w:jc w:val="center"/>
        <w:rPr>
          <w:rFonts w:ascii="Verdana" w:eastAsia="Times New Roman" w:hAnsi="Verdana" w:cs="Times New Roman"/>
          <w:b/>
          <w:bCs/>
          <w:sz w:val="21"/>
          <w:szCs w:val="21"/>
          <w:lang w:eastAsia="ru-RU"/>
        </w:rPr>
      </w:pPr>
      <w:r w:rsidRPr="00D54650">
        <w:rPr>
          <w:rFonts w:ascii="Arial" w:eastAsia="Times New Roman" w:hAnsi="Arial" w:cs="Arial"/>
          <w:b/>
          <w:bCs/>
          <w:sz w:val="24"/>
          <w:szCs w:val="24"/>
          <w:lang w:eastAsia="ru-RU"/>
        </w:rPr>
        <w:t> </w:t>
      </w:r>
    </w:p>
    <w:p w:rsidR="00D54650" w:rsidRPr="00D54650" w:rsidRDefault="00D54650" w:rsidP="00D54650">
      <w:pPr>
        <w:spacing w:after="0" w:line="240" w:lineRule="auto"/>
        <w:jc w:val="center"/>
        <w:rPr>
          <w:rFonts w:ascii="Verdana" w:eastAsia="Times New Roman" w:hAnsi="Verdana" w:cs="Times New Roman"/>
          <w:b/>
          <w:bCs/>
          <w:sz w:val="21"/>
          <w:szCs w:val="21"/>
          <w:lang w:eastAsia="ru-RU"/>
        </w:rPr>
      </w:pPr>
      <w:r w:rsidRPr="00D54650">
        <w:rPr>
          <w:rFonts w:ascii="Arial" w:eastAsia="Times New Roman" w:hAnsi="Arial" w:cs="Arial"/>
          <w:b/>
          <w:bCs/>
          <w:sz w:val="24"/>
          <w:szCs w:val="24"/>
          <w:lang w:eastAsia="ru-RU"/>
        </w:rPr>
        <w:t>ПИСЬМО</w:t>
      </w:r>
    </w:p>
    <w:p w:rsidR="00D54650" w:rsidRPr="00D54650" w:rsidRDefault="00D54650" w:rsidP="00D54650">
      <w:pPr>
        <w:spacing w:after="0" w:line="240" w:lineRule="auto"/>
        <w:jc w:val="center"/>
        <w:rPr>
          <w:rFonts w:ascii="Verdana" w:eastAsia="Times New Roman" w:hAnsi="Verdana" w:cs="Times New Roman"/>
          <w:b/>
          <w:bCs/>
          <w:sz w:val="21"/>
          <w:szCs w:val="21"/>
          <w:lang w:eastAsia="ru-RU"/>
        </w:rPr>
      </w:pPr>
      <w:r w:rsidRPr="00D54650">
        <w:rPr>
          <w:rFonts w:ascii="Arial" w:eastAsia="Times New Roman" w:hAnsi="Arial" w:cs="Arial"/>
          <w:b/>
          <w:bCs/>
          <w:sz w:val="24"/>
          <w:szCs w:val="24"/>
          <w:lang w:eastAsia="ru-RU"/>
        </w:rPr>
        <w:t>от 23 декабря 2019 г. N 24-03-07/100493</w:t>
      </w:r>
    </w:p>
    <w:p w:rsidR="00D54650" w:rsidRPr="00D54650" w:rsidRDefault="00D54650" w:rsidP="00D54650">
      <w:pPr>
        <w:spacing w:after="0" w:line="240" w:lineRule="auto"/>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 </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proofErr w:type="gramStart"/>
      <w:r w:rsidRPr="00D54650">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ООО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на основании пунктов 8, 9 части 1</w:t>
      </w:r>
      <w:proofErr w:type="gramEnd"/>
      <w:r w:rsidRPr="00D54650">
        <w:rPr>
          <w:rFonts w:ascii="Times New Roman" w:eastAsia="Times New Roman" w:hAnsi="Times New Roman" w:cs="Times New Roman"/>
          <w:sz w:val="24"/>
          <w:szCs w:val="24"/>
          <w:lang w:eastAsia="ru-RU"/>
        </w:rPr>
        <w:t xml:space="preserve"> статьи 95 Закона N 44-ФЗ, сообщает следующее.</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proofErr w:type="gramStart"/>
      <w:r w:rsidRPr="00D54650">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D54650">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D54650">
        <w:rPr>
          <w:rFonts w:ascii="Times New Roman" w:eastAsia="Times New Roman" w:hAnsi="Times New Roman" w:cs="Times New Roman"/>
          <w:sz w:val="24"/>
          <w:szCs w:val="24"/>
          <w:lang w:eastAsia="ru-RU"/>
        </w:rPr>
        <w:t>связи</w:t>
      </w:r>
      <w:proofErr w:type="gramEnd"/>
      <w:r w:rsidRPr="00D54650">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Вместе с тем считаем необходимым отметить следующее.</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Частью 2 статьи 34 Закона N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N 44-ФЗ.</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 xml:space="preserve">Подпунктом "а" пункта 64 статьи 1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N 44-ФЗ, положения которой </w:t>
      </w:r>
      <w:proofErr w:type="gramStart"/>
      <w:r w:rsidRPr="00D54650">
        <w:rPr>
          <w:rFonts w:ascii="Times New Roman" w:eastAsia="Times New Roman" w:hAnsi="Times New Roman" w:cs="Times New Roman"/>
          <w:sz w:val="24"/>
          <w:szCs w:val="24"/>
          <w:lang w:eastAsia="ru-RU"/>
        </w:rPr>
        <w:t>распространяются</w:t>
      </w:r>
      <w:proofErr w:type="gramEnd"/>
      <w:r w:rsidRPr="00D54650">
        <w:rPr>
          <w:rFonts w:ascii="Times New Roman" w:eastAsia="Times New Roman" w:hAnsi="Times New Roman" w:cs="Times New Roman"/>
          <w:sz w:val="24"/>
          <w:szCs w:val="24"/>
          <w:lang w:eastAsia="ru-RU"/>
        </w:rPr>
        <w:t xml:space="preserve"> в том числе на контракты, заключенные до 1 июля 2019 </w:t>
      </w:r>
      <w:proofErr w:type="gramStart"/>
      <w:r w:rsidRPr="00D54650">
        <w:rPr>
          <w:rFonts w:ascii="Times New Roman" w:eastAsia="Times New Roman" w:hAnsi="Times New Roman" w:cs="Times New Roman"/>
          <w:sz w:val="24"/>
          <w:szCs w:val="24"/>
          <w:lang w:eastAsia="ru-RU"/>
        </w:rPr>
        <w:t>г</w:t>
      </w:r>
      <w:proofErr w:type="gramEnd"/>
      <w:r w:rsidRPr="00D54650">
        <w:rPr>
          <w:rFonts w:ascii="Times New Roman" w:eastAsia="Times New Roman" w:hAnsi="Times New Roman" w:cs="Times New Roman"/>
          <w:sz w:val="24"/>
          <w:szCs w:val="24"/>
          <w:lang w:eastAsia="ru-RU"/>
        </w:rPr>
        <w:t>.</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proofErr w:type="gramStart"/>
      <w:r w:rsidRPr="00D54650">
        <w:rPr>
          <w:rFonts w:ascii="Times New Roman" w:eastAsia="Times New Roman" w:hAnsi="Times New Roman" w:cs="Times New Roman"/>
          <w:sz w:val="24"/>
          <w:szCs w:val="24"/>
          <w:lang w:eastAsia="ru-RU"/>
        </w:rPr>
        <w:t>Пункт 8 части 1 статьи 95 Закона N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цена которого составляет или превышает предельный размер (предельные</w:t>
      </w:r>
      <w:proofErr w:type="gramEnd"/>
      <w:r w:rsidRPr="00D54650">
        <w:rPr>
          <w:rFonts w:ascii="Times New Roman" w:eastAsia="Times New Roman" w:hAnsi="Times New Roman" w:cs="Times New Roman"/>
          <w:sz w:val="24"/>
          <w:szCs w:val="24"/>
          <w:lang w:eastAsia="ru-RU"/>
        </w:rPr>
        <w:t xml:space="preserve">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proofErr w:type="gramStart"/>
      <w:r w:rsidRPr="00D54650">
        <w:rPr>
          <w:rFonts w:ascii="Times New Roman" w:eastAsia="Times New Roman" w:hAnsi="Times New Roman" w:cs="Times New Roman"/>
          <w:sz w:val="24"/>
          <w:szCs w:val="24"/>
          <w:lang w:eastAsia="ru-RU"/>
        </w:rP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w:t>
      </w:r>
      <w:proofErr w:type="gramEnd"/>
      <w:r w:rsidRPr="00D54650">
        <w:rPr>
          <w:rFonts w:ascii="Times New Roman" w:eastAsia="Times New Roman" w:hAnsi="Times New Roman" w:cs="Times New Roman"/>
          <w:sz w:val="24"/>
          <w:szCs w:val="24"/>
          <w:lang w:eastAsia="ru-RU"/>
        </w:rPr>
        <w:t xml:space="preserve"> чем на тридцать процентов. При этом в указанный срок не включается срок получения </w:t>
      </w:r>
      <w:proofErr w:type="gramStart"/>
      <w:r w:rsidRPr="00D54650">
        <w:rPr>
          <w:rFonts w:ascii="Times New Roman" w:eastAsia="Times New Roman" w:hAnsi="Times New Roman" w:cs="Times New Roman"/>
          <w:sz w:val="24"/>
          <w:szCs w:val="24"/>
          <w:lang w:eastAsia="ru-RU"/>
        </w:rPr>
        <w:t>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roofErr w:type="gramEnd"/>
      <w:r w:rsidRPr="00D54650">
        <w:rPr>
          <w:rFonts w:ascii="Times New Roman" w:eastAsia="Times New Roman" w:hAnsi="Times New Roman" w:cs="Times New Roman"/>
          <w:sz w:val="24"/>
          <w:szCs w:val="24"/>
          <w:lang w:eastAsia="ru-RU"/>
        </w:rPr>
        <w:t>.</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lastRenderedPageBreak/>
        <w:t xml:space="preserve">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N 44-ФЗ, установлен постановлением Правительства Российской Федерации от 19 декабря 2013 г. N 1186 (далее - постановление N 1186) и составляет 100 </w:t>
      </w:r>
      <w:proofErr w:type="spellStart"/>
      <w:proofErr w:type="gramStart"/>
      <w:r w:rsidRPr="00D54650">
        <w:rPr>
          <w:rFonts w:ascii="Times New Roman" w:eastAsia="Times New Roman" w:hAnsi="Times New Roman" w:cs="Times New Roman"/>
          <w:sz w:val="24"/>
          <w:szCs w:val="24"/>
          <w:lang w:eastAsia="ru-RU"/>
        </w:rPr>
        <w:t>млн</w:t>
      </w:r>
      <w:proofErr w:type="spellEnd"/>
      <w:proofErr w:type="gramEnd"/>
      <w:r w:rsidRPr="00D54650">
        <w:rPr>
          <w:rFonts w:ascii="Times New Roman" w:eastAsia="Times New Roman" w:hAnsi="Times New Roman" w:cs="Times New Roman"/>
          <w:sz w:val="24"/>
          <w:szCs w:val="24"/>
          <w:lang w:eastAsia="ru-RU"/>
        </w:rPr>
        <w:t xml:space="preserve"> рублей.</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Таким образом, при соблюдении совокупности условий, предусмотренных указанными выше нормами Закона N 44-ФЗ и постановления N 1186, в том числе о необходимости внесения изменений в проектную документацию, существенные условия контракта могут быть изменены по соглашению сторон.</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proofErr w:type="gramStart"/>
      <w:r w:rsidRPr="00D54650">
        <w:rPr>
          <w:rFonts w:ascii="Times New Roman" w:eastAsia="Times New Roman" w:hAnsi="Times New Roman" w:cs="Times New Roman"/>
          <w:sz w:val="24"/>
          <w:szCs w:val="24"/>
          <w:lang w:eastAsia="ru-RU"/>
        </w:rPr>
        <w:t>Пунктом 9 части 1 статьи 95 Закона N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 зависящим от сторон контракта обстоятельствам, влекущим невозможность его исполнения, в том числе необходимость внесения изменений в</w:t>
      </w:r>
      <w:proofErr w:type="gramEnd"/>
      <w:r w:rsidRPr="00D54650">
        <w:rPr>
          <w:rFonts w:ascii="Times New Roman" w:eastAsia="Times New Roman" w:hAnsi="Times New Roman" w:cs="Times New Roman"/>
          <w:sz w:val="24"/>
          <w:szCs w:val="24"/>
          <w:lang w:eastAsia="ru-RU"/>
        </w:rPr>
        <w:t xml:space="preserve"> </w:t>
      </w:r>
      <w:proofErr w:type="gramStart"/>
      <w:r w:rsidRPr="00D54650">
        <w:rPr>
          <w:rFonts w:ascii="Times New Roman" w:eastAsia="Times New Roman" w:hAnsi="Times New Roman" w:cs="Times New Roman"/>
          <w:sz w:val="24"/>
          <w:szCs w:val="24"/>
          <w:lang w:eastAsia="ru-RU"/>
        </w:rPr>
        <w:t>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D54650">
        <w:rPr>
          <w:rFonts w:ascii="Times New Roman" w:eastAsia="Times New Roman" w:hAnsi="Times New Roman" w:cs="Times New Roman"/>
          <w:sz w:val="24"/>
          <w:szCs w:val="24"/>
          <w:lang w:eastAsia="ru-RU"/>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D54650" w:rsidRPr="00D54650" w:rsidRDefault="00D54650" w:rsidP="00D54650">
      <w:pPr>
        <w:shd w:val="clear" w:color="auto" w:fill="F4F3F8"/>
        <w:spacing w:after="0" w:line="240" w:lineRule="auto"/>
        <w:rPr>
          <w:rFonts w:ascii="Verdana" w:eastAsia="Times New Roman" w:hAnsi="Verdana" w:cs="Times New Roman"/>
          <w:color w:val="392C69"/>
          <w:sz w:val="21"/>
          <w:szCs w:val="21"/>
          <w:lang w:eastAsia="ru-RU"/>
        </w:rPr>
      </w:pPr>
      <w:proofErr w:type="spellStart"/>
      <w:r w:rsidRPr="00D54650">
        <w:rPr>
          <w:rFonts w:ascii="Times New Roman" w:eastAsia="Times New Roman" w:hAnsi="Times New Roman" w:cs="Times New Roman"/>
          <w:color w:val="392C69"/>
          <w:sz w:val="24"/>
          <w:szCs w:val="24"/>
          <w:lang w:eastAsia="ru-RU"/>
        </w:rPr>
        <w:t>КонсультантПлюс</w:t>
      </w:r>
      <w:proofErr w:type="spellEnd"/>
      <w:r w:rsidRPr="00D54650">
        <w:rPr>
          <w:rFonts w:ascii="Times New Roman" w:eastAsia="Times New Roman" w:hAnsi="Times New Roman" w:cs="Times New Roman"/>
          <w:color w:val="392C69"/>
          <w:sz w:val="24"/>
          <w:szCs w:val="24"/>
          <w:lang w:eastAsia="ru-RU"/>
        </w:rPr>
        <w:t>: примечание.</w:t>
      </w:r>
    </w:p>
    <w:p w:rsidR="00D54650" w:rsidRPr="00D54650" w:rsidRDefault="00D54650" w:rsidP="00D54650">
      <w:pPr>
        <w:shd w:val="clear" w:color="auto" w:fill="F4F3F8"/>
        <w:spacing w:after="0" w:line="240" w:lineRule="auto"/>
        <w:rPr>
          <w:rFonts w:ascii="Verdana" w:eastAsia="Times New Roman" w:hAnsi="Verdana" w:cs="Times New Roman"/>
          <w:color w:val="392C69"/>
          <w:sz w:val="21"/>
          <w:szCs w:val="21"/>
          <w:lang w:eastAsia="ru-RU"/>
        </w:rPr>
      </w:pPr>
      <w:r w:rsidRPr="00D54650">
        <w:rPr>
          <w:rFonts w:ascii="Times New Roman" w:eastAsia="Times New Roman" w:hAnsi="Times New Roman" w:cs="Times New Roman"/>
          <w:color w:val="392C69"/>
          <w:sz w:val="24"/>
          <w:szCs w:val="24"/>
          <w:lang w:eastAsia="ru-RU"/>
        </w:rPr>
        <w:t>В тексте документа, видимо, допущена опечатка: имеется в виду пункт 9 части 1 статьи 95 Федерального закона от 05.04.2013 N 44-ФЗ.</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Обращаем внимание, что в случае неисполнения контракта в срок по вине подрядчика предусмотренное пунктом 9 статьи 95 Закона N 44-ФЗ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N 44-ФЗ.</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proofErr w:type="gramStart"/>
      <w:r w:rsidRPr="00D54650">
        <w:rPr>
          <w:rFonts w:ascii="Times New Roman" w:eastAsia="Times New Roman" w:hAnsi="Times New Roman" w:cs="Times New Roman"/>
          <w:sz w:val="24"/>
          <w:szCs w:val="24"/>
          <w:lang w:eastAsia="ru-RU"/>
        </w:rPr>
        <w:t>Таким образом, заключение дополнительного соглашения, предусматривающего изменение срока в соответствии с пунктом 9 части 1 статьи 95 Закона N 44-ФЗ, возможно в связи с появлением не 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 и только в случае отсутствия не исполненных подрядчиком на момент соглашения сторон об изменении срока исполнения</w:t>
      </w:r>
      <w:proofErr w:type="gramEnd"/>
      <w:r w:rsidRPr="00D54650">
        <w:rPr>
          <w:rFonts w:ascii="Times New Roman" w:eastAsia="Times New Roman" w:hAnsi="Times New Roman" w:cs="Times New Roman"/>
          <w:sz w:val="24"/>
          <w:szCs w:val="24"/>
          <w:lang w:eastAsia="ru-RU"/>
        </w:rPr>
        <w:t xml:space="preserve"> контракта требований об уплате неустоек (штрафов, пеней), предъявленных заказчиком в соответствии с Законом N 44-ФЗ в рамках исполнения такого контракта.</w:t>
      </w:r>
    </w:p>
    <w:p w:rsidR="00D54650" w:rsidRPr="00D54650" w:rsidRDefault="00D54650" w:rsidP="00D54650">
      <w:pPr>
        <w:spacing w:after="0" w:line="240" w:lineRule="auto"/>
        <w:ind w:firstLine="540"/>
        <w:jc w:val="both"/>
        <w:rPr>
          <w:rFonts w:ascii="Verdana" w:eastAsia="Times New Roman" w:hAnsi="Verdana" w:cs="Times New Roman"/>
          <w:sz w:val="21"/>
          <w:szCs w:val="21"/>
          <w:lang w:eastAsia="ru-RU"/>
        </w:rPr>
      </w:pPr>
      <w:proofErr w:type="gramStart"/>
      <w:r w:rsidRPr="00D54650">
        <w:rPr>
          <w:rFonts w:ascii="Times New Roman" w:eastAsia="Times New Roman" w:hAnsi="Times New Roman" w:cs="Times New Roman"/>
          <w:sz w:val="24"/>
          <w:szCs w:val="24"/>
          <w:lang w:eastAsia="ru-RU"/>
        </w:rPr>
        <w:t>При этом отмечаем,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w:t>
      </w:r>
      <w:proofErr w:type="gramEnd"/>
      <w:r w:rsidRPr="00D54650">
        <w:rPr>
          <w:rFonts w:ascii="Times New Roman" w:eastAsia="Times New Roman" w:hAnsi="Times New Roman" w:cs="Times New Roman"/>
          <w:sz w:val="24"/>
          <w:szCs w:val="24"/>
          <w:lang w:eastAsia="ru-RU"/>
        </w:rPr>
        <w:t xml:space="preserve"> обязательств.</w:t>
      </w:r>
    </w:p>
    <w:p w:rsidR="00D54650" w:rsidRPr="00D54650" w:rsidRDefault="00D54650" w:rsidP="00D54650">
      <w:pPr>
        <w:spacing w:after="0" w:line="240" w:lineRule="auto"/>
        <w:jc w:val="both"/>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 </w:t>
      </w:r>
    </w:p>
    <w:p w:rsidR="00D54650" w:rsidRPr="00D54650" w:rsidRDefault="00D54650" w:rsidP="00D54650">
      <w:pPr>
        <w:spacing w:after="0" w:line="240" w:lineRule="auto"/>
        <w:jc w:val="right"/>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Заместитель директора Департамента</w:t>
      </w:r>
    </w:p>
    <w:p w:rsidR="00D54650" w:rsidRPr="00D54650" w:rsidRDefault="00D54650" w:rsidP="00D54650">
      <w:pPr>
        <w:spacing w:after="0" w:line="240" w:lineRule="auto"/>
        <w:jc w:val="right"/>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t>Д.А.ГОТОВЦЕВ</w:t>
      </w:r>
    </w:p>
    <w:p w:rsidR="00D54650" w:rsidRPr="00D54650" w:rsidRDefault="00D54650" w:rsidP="00D54650">
      <w:pPr>
        <w:spacing w:after="0" w:line="240" w:lineRule="auto"/>
        <w:rPr>
          <w:rFonts w:ascii="Verdana" w:eastAsia="Times New Roman" w:hAnsi="Verdana" w:cs="Times New Roman"/>
          <w:sz w:val="21"/>
          <w:szCs w:val="21"/>
          <w:lang w:eastAsia="ru-RU"/>
        </w:rPr>
      </w:pPr>
      <w:r w:rsidRPr="00D54650">
        <w:rPr>
          <w:rFonts w:ascii="Times New Roman" w:eastAsia="Times New Roman" w:hAnsi="Times New Roman" w:cs="Times New Roman"/>
          <w:sz w:val="24"/>
          <w:szCs w:val="24"/>
          <w:lang w:eastAsia="ru-RU"/>
        </w:rPr>
        <w:lastRenderedPageBreak/>
        <w:t>23.12.2019</w:t>
      </w:r>
    </w:p>
    <w:p w:rsidR="00B01B94" w:rsidRPr="00D54650" w:rsidRDefault="00B01B94" w:rsidP="00D54650"/>
    <w:sectPr w:rsidR="00B01B94" w:rsidRPr="00D54650"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C64"/>
    <w:rsid w:val="000558D2"/>
    <w:rsid w:val="003636AE"/>
    <w:rsid w:val="00490505"/>
    <w:rsid w:val="0053220D"/>
    <w:rsid w:val="009E1445"/>
    <w:rsid w:val="00A573CE"/>
    <w:rsid w:val="00A84C64"/>
    <w:rsid w:val="00B01B94"/>
    <w:rsid w:val="00C6235C"/>
    <w:rsid w:val="00D54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792589">
      <w:bodyDiv w:val="1"/>
      <w:marLeft w:val="0"/>
      <w:marRight w:val="0"/>
      <w:marTop w:val="0"/>
      <w:marBottom w:val="0"/>
      <w:divBdr>
        <w:top w:val="none" w:sz="0" w:space="0" w:color="auto"/>
        <w:left w:val="none" w:sz="0" w:space="0" w:color="auto"/>
        <w:bottom w:val="none" w:sz="0" w:space="0" w:color="auto"/>
        <w:right w:val="none" w:sz="0" w:space="0" w:color="auto"/>
      </w:divBdr>
      <w:divsChild>
        <w:div w:id="523979924">
          <w:marLeft w:val="0"/>
          <w:marRight w:val="0"/>
          <w:marTop w:val="0"/>
          <w:marBottom w:val="0"/>
          <w:divBdr>
            <w:top w:val="none" w:sz="0" w:space="0" w:color="auto"/>
            <w:left w:val="none" w:sz="0" w:space="0" w:color="auto"/>
            <w:bottom w:val="none" w:sz="0" w:space="0" w:color="auto"/>
            <w:right w:val="none" w:sz="0" w:space="0" w:color="auto"/>
          </w:divBdr>
          <w:divsChild>
            <w:div w:id="1075084222">
              <w:marLeft w:val="0"/>
              <w:marRight w:val="0"/>
              <w:marTop w:val="0"/>
              <w:marBottom w:val="0"/>
              <w:divBdr>
                <w:top w:val="none" w:sz="0" w:space="0" w:color="auto"/>
                <w:left w:val="none" w:sz="0" w:space="0" w:color="auto"/>
                <w:bottom w:val="none" w:sz="0" w:space="0" w:color="auto"/>
                <w:right w:val="none" w:sz="0" w:space="0" w:color="auto"/>
              </w:divBdr>
            </w:div>
            <w:div w:id="1182626845">
              <w:marLeft w:val="0"/>
              <w:marRight w:val="0"/>
              <w:marTop w:val="0"/>
              <w:marBottom w:val="0"/>
              <w:divBdr>
                <w:top w:val="none" w:sz="0" w:space="0" w:color="auto"/>
                <w:left w:val="none" w:sz="0" w:space="0" w:color="auto"/>
                <w:bottom w:val="none" w:sz="0" w:space="0" w:color="auto"/>
                <w:right w:val="none" w:sz="0" w:space="0" w:color="auto"/>
              </w:divBdr>
            </w:div>
          </w:divsChild>
        </w:div>
        <w:div w:id="1804619912">
          <w:marLeft w:val="0"/>
          <w:marRight w:val="0"/>
          <w:marTop w:val="0"/>
          <w:marBottom w:val="0"/>
          <w:divBdr>
            <w:top w:val="none" w:sz="0" w:space="0" w:color="auto"/>
            <w:left w:val="none" w:sz="0" w:space="0" w:color="auto"/>
            <w:bottom w:val="none" w:sz="0" w:space="0" w:color="auto"/>
            <w:right w:val="none" w:sz="0" w:space="0" w:color="auto"/>
          </w:divBdr>
        </w:div>
      </w:divsChild>
    </w:div>
    <w:div w:id="514078827">
      <w:bodyDiv w:val="1"/>
      <w:marLeft w:val="0"/>
      <w:marRight w:val="0"/>
      <w:marTop w:val="0"/>
      <w:marBottom w:val="0"/>
      <w:divBdr>
        <w:top w:val="none" w:sz="0" w:space="0" w:color="auto"/>
        <w:left w:val="none" w:sz="0" w:space="0" w:color="auto"/>
        <w:bottom w:val="none" w:sz="0" w:space="0" w:color="auto"/>
        <w:right w:val="none" w:sz="0" w:space="0" w:color="auto"/>
      </w:divBdr>
      <w:divsChild>
        <w:div w:id="19086883">
          <w:marLeft w:val="0"/>
          <w:marRight w:val="0"/>
          <w:marTop w:val="0"/>
          <w:marBottom w:val="0"/>
          <w:divBdr>
            <w:top w:val="none" w:sz="0" w:space="0" w:color="auto"/>
            <w:left w:val="none" w:sz="0" w:space="0" w:color="auto"/>
            <w:bottom w:val="none" w:sz="0" w:space="0" w:color="auto"/>
            <w:right w:val="none" w:sz="0" w:space="0" w:color="auto"/>
          </w:divBdr>
        </w:div>
        <w:div w:id="1395618445">
          <w:marLeft w:val="0"/>
          <w:marRight w:val="0"/>
          <w:marTop w:val="0"/>
          <w:marBottom w:val="0"/>
          <w:divBdr>
            <w:top w:val="none" w:sz="0" w:space="0" w:color="auto"/>
            <w:left w:val="none" w:sz="0" w:space="0" w:color="auto"/>
            <w:bottom w:val="none" w:sz="0" w:space="0" w:color="auto"/>
            <w:right w:val="none" w:sz="0" w:space="0" w:color="auto"/>
          </w:divBdr>
        </w:div>
        <w:div w:id="1143887248">
          <w:marLeft w:val="0"/>
          <w:marRight w:val="0"/>
          <w:marTop w:val="0"/>
          <w:marBottom w:val="0"/>
          <w:divBdr>
            <w:top w:val="none" w:sz="0" w:space="0" w:color="auto"/>
            <w:left w:val="none" w:sz="0" w:space="0" w:color="auto"/>
            <w:bottom w:val="none" w:sz="0" w:space="0" w:color="auto"/>
            <w:right w:val="none" w:sz="0" w:space="0" w:color="auto"/>
          </w:divBdr>
        </w:div>
      </w:divsChild>
    </w:div>
    <w:div w:id="1826511390">
      <w:bodyDiv w:val="1"/>
      <w:marLeft w:val="0"/>
      <w:marRight w:val="0"/>
      <w:marTop w:val="0"/>
      <w:marBottom w:val="0"/>
      <w:divBdr>
        <w:top w:val="none" w:sz="0" w:space="0" w:color="auto"/>
        <w:left w:val="none" w:sz="0" w:space="0" w:color="auto"/>
        <w:bottom w:val="none" w:sz="0" w:space="0" w:color="auto"/>
        <w:right w:val="none" w:sz="0" w:space="0" w:color="auto"/>
      </w:divBdr>
      <w:divsChild>
        <w:div w:id="1129975054">
          <w:marLeft w:val="0"/>
          <w:marRight w:val="0"/>
          <w:marTop w:val="0"/>
          <w:marBottom w:val="0"/>
          <w:divBdr>
            <w:top w:val="none" w:sz="0" w:space="0" w:color="auto"/>
            <w:left w:val="none" w:sz="0" w:space="0" w:color="auto"/>
            <w:bottom w:val="none" w:sz="0" w:space="0" w:color="auto"/>
            <w:right w:val="none" w:sz="0" w:space="0" w:color="auto"/>
          </w:divBdr>
        </w:div>
      </w:divsChild>
    </w:div>
    <w:div w:id="1863392238">
      <w:bodyDiv w:val="1"/>
      <w:marLeft w:val="0"/>
      <w:marRight w:val="0"/>
      <w:marTop w:val="0"/>
      <w:marBottom w:val="0"/>
      <w:divBdr>
        <w:top w:val="none" w:sz="0" w:space="0" w:color="auto"/>
        <w:left w:val="none" w:sz="0" w:space="0" w:color="auto"/>
        <w:bottom w:val="none" w:sz="0" w:space="0" w:color="auto"/>
        <w:right w:val="none" w:sz="0" w:space="0" w:color="auto"/>
      </w:divBdr>
      <w:divsChild>
        <w:div w:id="1419449155">
          <w:marLeft w:val="0"/>
          <w:marRight w:val="0"/>
          <w:marTop w:val="0"/>
          <w:marBottom w:val="0"/>
          <w:divBdr>
            <w:top w:val="none" w:sz="0" w:space="0" w:color="auto"/>
            <w:left w:val="none" w:sz="0" w:space="0" w:color="auto"/>
            <w:bottom w:val="none" w:sz="0" w:space="0" w:color="auto"/>
            <w:right w:val="none" w:sz="0" w:space="0" w:color="auto"/>
          </w:divBdr>
        </w:div>
      </w:divsChild>
    </w:div>
    <w:div w:id="1960410387">
      <w:bodyDiv w:val="1"/>
      <w:marLeft w:val="0"/>
      <w:marRight w:val="0"/>
      <w:marTop w:val="0"/>
      <w:marBottom w:val="0"/>
      <w:divBdr>
        <w:top w:val="none" w:sz="0" w:space="0" w:color="auto"/>
        <w:left w:val="none" w:sz="0" w:space="0" w:color="auto"/>
        <w:bottom w:val="none" w:sz="0" w:space="0" w:color="auto"/>
        <w:right w:val="none" w:sz="0" w:space="0" w:color="auto"/>
      </w:divBdr>
      <w:divsChild>
        <w:div w:id="719285917">
          <w:marLeft w:val="0"/>
          <w:marRight w:val="0"/>
          <w:marTop w:val="0"/>
          <w:marBottom w:val="0"/>
          <w:divBdr>
            <w:top w:val="none" w:sz="0" w:space="0" w:color="auto"/>
            <w:left w:val="none" w:sz="0" w:space="0" w:color="auto"/>
            <w:bottom w:val="none" w:sz="0" w:space="0" w:color="auto"/>
            <w:right w:val="none" w:sz="0" w:space="0" w:color="auto"/>
          </w:divBdr>
        </w:div>
        <w:div w:id="365252552">
          <w:marLeft w:val="0"/>
          <w:marRight w:val="0"/>
          <w:marTop w:val="0"/>
          <w:marBottom w:val="0"/>
          <w:divBdr>
            <w:top w:val="none" w:sz="0" w:space="0" w:color="auto"/>
            <w:left w:val="none" w:sz="0" w:space="0" w:color="auto"/>
            <w:bottom w:val="none" w:sz="0" w:space="0" w:color="auto"/>
            <w:right w:val="none" w:sz="0" w:space="0" w:color="auto"/>
          </w:divBdr>
        </w:div>
        <w:div w:id="158290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1075</Words>
  <Characters>6132</Characters>
  <Application>Microsoft Office Word</Application>
  <DocSecurity>0</DocSecurity>
  <Lines>51</Lines>
  <Paragraphs>14</Paragraphs>
  <ScaleCrop>false</ScaleCrop>
  <Company>Krokoz™</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2020-05-12T07:05:00Z</dcterms:created>
  <dcterms:modified xsi:type="dcterms:W3CDTF">2020-05-12T07:05:00Z</dcterms:modified>
</cp:coreProperties>
</file>