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04E" w:rsidRPr="003A704E" w:rsidRDefault="003A704E" w:rsidP="003A704E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3A70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МИНИСТЕРСТВО ФИНАНСОВ РОССИЙСКОЙ ФЕДЕРАЦИИ</w:t>
      </w:r>
    </w:p>
    <w:p w:rsidR="003A704E" w:rsidRPr="003A704E" w:rsidRDefault="003A704E" w:rsidP="003A704E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3A70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3A704E" w:rsidRPr="003A704E" w:rsidRDefault="003A704E" w:rsidP="003A704E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3A70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ПИСЬМО</w:t>
      </w:r>
    </w:p>
    <w:p w:rsidR="003A704E" w:rsidRPr="003A704E" w:rsidRDefault="003A704E" w:rsidP="003A704E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3A70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от 25 ноября 2019 г. N 02-09-09/91259</w:t>
      </w:r>
    </w:p>
    <w:p w:rsidR="003A704E" w:rsidRPr="003A704E" w:rsidRDefault="003A704E" w:rsidP="003A704E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A704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A704E" w:rsidRPr="003A704E" w:rsidRDefault="003A704E" w:rsidP="003A704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A704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бюджетной методологии и финансовой отчетности в государственном секторе Министерства финансов Российской Федерации (далее - Департамент) рассмотрел обращение по вопросу классификации факта принятия и оплаты бюджетного и денежного обязательства как нецелевого использования бюджетных средств и в пределах компетенции сообщает.</w:t>
      </w:r>
    </w:p>
    <w:p w:rsidR="003A704E" w:rsidRPr="003A704E" w:rsidRDefault="003A704E" w:rsidP="003A704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3A704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Положением о Министерстве финансов Российской Федерации, утвержденным постановлением Правительства Российской Федерации от 30.06.2004 N 329, Минфин России является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бюджетной деятельности, однако Минфину России не предоставлено право официального толкования законодательных или иных нормативных правовых актов в части бюджетного законодательства.</w:t>
      </w:r>
      <w:proofErr w:type="gramEnd"/>
    </w:p>
    <w:p w:rsidR="003A704E" w:rsidRPr="003A704E" w:rsidRDefault="003A704E" w:rsidP="003A704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3A704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пунктом 12.5 Регламента Минфина России, утвержденного приказом Минфина России от 14.09.2018 N 194н, разъяснение законодательства Российской Федерации, практики его применения, а также толкование норм, терминов и понятий осуществляются Минфином России по обращениям в случаях, если на Минфин России возложена соответствующая обязанность или если это необходимо для обоснования решения, принятого по обращению.</w:t>
      </w:r>
      <w:proofErr w:type="gramEnd"/>
      <w:r w:rsidRPr="003A70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Кроме того, Минфин России не наделен полномочиями по оценке правомерности действий (бездействия) органов государственного (муниципального) финансового контроля.</w:t>
      </w:r>
    </w:p>
    <w:p w:rsidR="003A704E" w:rsidRPr="003A704E" w:rsidRDefault="003A704E" w:rsidP="003A704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3A704E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тем правоотношения, связанные с реализацией гражданином Российской Федерации закрепленного за ним Конституцией Российской Федерации права на обращение в государственные органы и органы местного самоуправления, а также порядок рассмотрения обращений граждан государственными органами, органами местного самоуправления и должностными лицами регулируются Федеральным законом от 02.05.2006 N 59-ФЗ "О порядке рассмотрения обращений граждан Российской Федерации" (далее - Федеральный закон N 59-ФЗ).</w:t>
      </w:r>
      <w:proofErr w:type="gramEnd"/>
    </w:p>
    <w:p w:rsidR="003A704E" w:rsidRPr="003A704E" w:rsidRDefault="003A704E" w:rsidP="003A704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3A704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2 Федерального закона N 59-ФЗ 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в государственные органы, органы местного самоуправления и их должностным лицам, в государственные и муниципальные учреждения и иные организации, на которые возложено осуществление публично значимых функций, и их должностным лицам.</w:t>
      </w:r>
      <w:proofErr w:type="gramEnd"/>
    </w:p>
    <w:p w:rsidR="003A704E" w:rsidRPr="003A704E" w:rsidRDefault="003A704E" w:rsidP="003A704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A704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4 Федерального закона N 59-ФЗ обращением гражданина являются направленные в государственный орган, орган местного самоуправления или должностному лицу в письменной форме или в форме электронного документа предложение, заявление или жалоба, а также устное обращение гражданина в государственный орган, орган местного самоуправления.</w:t>
      </w:r>
    </w:p>
    <w:p w:rsidR="003A704E" w:rsidRPr="003A704E" w:rsidRDefault="003A704E" w:rsidP="003A704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A704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Учитывая, что обращение не содержит предложений, заявлений или жалоб, не представляется возможным обеспечить его рассмотрение в порядке, установленном данным Федеральным законом.</w:t>
      </w:r>
    </w:p>
    <w:p w:rsidR="003A704E" w:rsidRPr="003A704E" w:rsidRDefault="003A704E" w:rsidP="003A704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A704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для получения в установленном порядке позиции Министерства финансов Российской Федерации по вопросам, решение которых входит в компетенцию Министерства финансов Российской Федерации, необходимо оформить соответствующий документ согласно правилам делопроизводства на бланке учреждения с установленным составом реквизитов, включая подпись должностного лица и регистрационный номер документа.</w:t>
      </w:r>
    </w:p>
    <w:p w:rsidR="003A704E" w:rsidRPr="003A704E" w:rsidRDefault="003A704E" w:rsidP="003A704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A704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Вместе с тем полагаем необходимым отметить следующее.</w:t>
      </w:r>
    </w:p>
    <w:p w:rsidR="003A704E" w:rsidRPr="003A704E" w:rsidRDefault="003A704E" w:rsidP="003A704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3A704E">
        <w:rPr>
          <w:rFonts w:ascii="Times New Roman" w:eastAsia="Times New Roman" w:hAnsi="Times New Roman" w:cs="Times New Roman"/>
          <w:sz w:val="24"/>
          <w:szCs w:val="24"/>
          <w:lang w:eastAsia="ru-RU"/>
        </w:rPr>
        <w:t>Нецелевым использованием бюджетных средств признаются направление средств бюджета бюджетной системы Российской Федерации и оплата денежных обязательств в целях, не соответствующих полностью или частично целям, определенным законом (решением) о бюджете, сводной бюджетной росписью, бюджетной росписью, лимитами бюджетных обязательств, бюджетной сметой, договором (соглашением) либо правовым актом, являющимся основанием для предоставления указанных средств (пункт 1 статьи 306.4 Бюджетного кодекса Российской Федерации (далее - БК</w:t>
      </w:r>
      <w:proofErr w:type="gramEnd"/>
      <w:r w:rsidRPr="003A70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A704E">
        <w:rPr>
          <w:rFonts w:ascii="Times New Roman" w:eastAsia="Times New Roman" w:hAnsi="Times New Roman" w:cs="Times New Roman"/>
          <w:sz w:val="24"/>
          <w:szCs w:val="24"/>
          <w:lang w:eastAsia="ru-RU"/>
        </w:rPr>
        <w:t>РФ).</w:t>
      </w:r>
      <w:proofErr w:type="gramEnd"/>
    </w:p>
    <w:p w:rsidR="003A704E" w:rsidRPr="003A704E" w:rsidRDefault="003A704E" w:rsidP="003A704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A70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Принцип </w:t>
      </w:r>
      <w:proofErr w:type="spellStart"/>
      <w:r w:rsidRPr="003A704E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адресности</w:t>
      </w:r>
      <w:proofErr w:type="spellEnd"/>
      <w:r w:rsidRPr="003A70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целевого характера бюджетных средств, согласно статье 38 БК РФ, означает, что бюджетные ассигнования и лимиты бюджетных обязательств доводятся до конкретных получателей бюджетных средств с указанием цели их использования.</w:t>
      </w:r>
    </w:p>
    <w:p w:rsidR="003A704E" w:rsidRPr="003A704E" w:rsidRDefault="003A704E" w:rsidP="003A704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3A704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статье 87 БК РФ под реестром расходных обязательств понимается используемый при составлении проекта бюджета свод (перечень) законов, иных нормативных правовых актов, муниципальных правовых актов, обусловливающих публичные нормативные обязательства и (или) правовые основания для иных расходных обязательств, с указанием соответствующих положений (статей, частей, пунктов, подпунктов, абзацев) законов и иных нормативных правовых актов, муниципальных правовых актов с оценкой объемов бюджетных ассигнований</w:t>
      </w:r>
      <w:proofErr w:type="gramEnd"/>
      <w:r w:rsidRPr="003A704E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необходимых для исполнения включенных в реестр обязательств.</w:t>
      </w:r>
    </w:p>
    <w:p w:rsidR="003A704E" w:rsidRPr="003A704E" w:rsidRDefault="003A704E" w:rsidP="003A704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A70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формирование и представление главными распорядителями средств федерального бюджета обоснований бюджетных ассигнований осуществляются в порядке, установленном приказом Минфина России от 31.12.2016 N 261н (далее - Порядок).</w:t>
      </w:r>
    </w:p>
    <w:p w:rsidR="003A704E" w:rsidRPr="003A704E" w:rsidRDefault="003A704E" w:rsidP="003A704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3A704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Обоснования бюджетных ассигнований, в соответствии с пунктом 13 Порядка, формируются и представляются главными распорядителями средств федерального бюджета в Министерство финансов Российской Федерации одновременно с реестрами расходных обязательств главных распорядителей средств федерального бюджета и распределением бюджетных ассигнований федерального бюджета на очередной финансовый год и на плановый период по кодам классификации расходов бюджетов в сроки, установленные графиком подготовки и рассмотрения проектов федеральных</w:t>
      </w:r>
      <w:proofErr w:type="gramEnd"/>
      <w:r w:rsidRPr="003A70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законов, документов и материалов, разрабатываемых при составлении проекта федерального бюджета и проектов бюджетов государственных внебюджетных фондов Российской Федерации на очередной финансовый год и на плановый период, ежегодно утверждаемых Правительством Российской Федерации.</w:t>
      </w:r>
    </w:p>
    <w:p w:rsidR="003A704E" w:rsidRPr="003A704E" w:rsidRDefault="003A704E" w:rsidP="003A704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A70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Показатели обоснований бюджетных ассигнований и показатели </w:t>
      </w:r>
      <w:proofErr w:type="gramStart"/>
      <w:r w:rsidRPr="003A704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реестров расходных обязательств главных распорядителей средств федерального бюджета</w:t>
      </w:r>
      <w:proofErr w:type="gramEnd"/>
      <w:r w:rsidRPr="003A70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должны соответствовать распределению бюджетных ассигнований на очередной финансовый год и на плановый период по кодам классификации расходов бюджетов.</w:t>
      </w:r>
    </w:p>
    <w:p w:rsidR="003A704E" w:rsidRPr="003A704E" w:rsidRDefault="003A704E" w:rsidP="003A704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A70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обоснований бюджетных ассигнований, принятых Министерством финансов Российской Федерации в соответствии с порядком, формируются лимиты бюджетных обязательств, и исполнение бюджета </w:t>
      </w:r>
      <w:proofErr w:type="gramStart"/>
      <w:r w:rsidRPr="003A704E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осуществляется</w:t>
      </w:r>
      <w:proofErr w:type="gramEnd"/>
      <w:r w:rsidRPr="003A70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 в соответствии с принципом </w:t>
      </w:r>
      <w:proofErr w:type="spellStart"/>
      <w:r w:rsidRPr="003A704E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адресности</w:t>
      </w:r>
      <w:proofErr w:type="spellEnd"/>
      <w:r w:rsidRPr="003A70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целевого характера бюджетных средств.</w:t>
      </w:r>
    </w:p>
    <w:p w:rsidR="003A704E" w:rsidRPr="003A704E" w:rsidRDefault="003A704E" w:rsidP="003A704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A70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по мнению Департамента, принятие и оплата бюджетного и денежного обязательств при условии, что расходование указанных средств было осуществлено в соответствии с законом (решением) о бюджете, сводной бюджетной росписью, бюджетной росписью, лимитами бюджетных обязательств, бюджетной сметой, договором (соглашением) либо правовым актом, являющимся основанием </w:t>
      </w:r>
      <w:proofErr w:type="gramStart"/>
      <w:r w:rsidRPr="003A704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Pr="003A70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предоставления указанных средств, не могут рассматриваться в контексте понятия "нецелевое использование бюджетных средств".</w:t>
      </w:r>
    </w:p>
    <w:p w:rsidR="003A704E" w:rsidRPr="003A704E" w:rsidRDefault="003A704E" w:rsidP="003A704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3A70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Вместе с тем обращаем внимание, что несоответствие показателей реестра расходных обязательств, сводной бюджетной росписи обоснованиям бюджетных </w:t>
      </w:r>
      <w:r w:rsidRPr="003A704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ассигнований и лимитам бюджетных обязательств на очередной финансовый год и на плановый период может быть рассмотрено в контексте пункта 1 статьи 15.15.7 Кодекса Российской Федерации об административных правонарушениях, устанавливающего административную ответственность за нарушение главным распорядителем бюджетных средств порядка формирования и (или) представления обоснований бюджетных</w:t>
      </w:r>
      <w:proofErr w:type="gramEnd"/>
      <w:r w:rsidRPr="003A70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ассигнований.</w:t>
      </w:r>
    </w:p>
    <w:p w:rsidR="003A704E" w:rsidRPr="003A704E" w:rsidRDefault="003A704E" w:rsidP="003A704E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A704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A704E" w:rsidRPr="003A704E" w:rsidRDefault="003A704E" w:rsidP="003A704E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A704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Департамента</w:t>
      </w:r>
    </w:p>
    <w:p w:rsidR="003A704E" w:rsidRPr="003A704E" w:rsidRDefault="003A704E" w:rsidP="003A704E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A704E">
        <w:rPr>
          <w:rFonts w:ascii="Times New Roman" w:eastAsia="Times New Roman" w:hAnsi="Times New Roman" w:cs="Times New Roman"/>
          <w:sz w:val="24"/>
          <w:szCs w:val="24"/>
          <w:lang w:eastAsia="ru-RU"/>
        </w:rPr>
        <w:t>С.С.БЫЧКОВ</w:t>
      </w:r>
    </w:p>
    <w:p w:rsidR="003A704E" w:rsidRPr="003A704E" w:rsidRDefault="003A704E" w:rsidP="003A704E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A704E">
        <w:rPr>
          <w:rFonts w:ascii="Times New Roman" w:eastAsia="Times New Roman" w:hAnsi="Times New Roman" w:cs="Times New Roman"/>
          <w:sz w:val="24"/>
          <w:szCs w:val="24"/>
          <w:lang w:eastAsia="ru-RU"/>
        </w:rPr>
        <w:t>25.11.2019</w:t>
      </w:r>
    </w:p>
    <w:p w:rsidR="00B01B94" w:rsidRPr="00055E2A" w:rsidRDefault="00B01B94" w:rsidP="00055E2A"/>
    <w:sectPr w:rsidR="00B01B94" w:rsidRPr="00055E2A" w:rsidSect="00B01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4C64"/>
    <w:rsid w:val="00002C86"/>
    <w:rsid w:val="000270C7"/>
    <w:rsid w:val="000558D2"/>
    <w:rsid w:val="00055E2A"/>
    <w:rsid w:val="0014326B"/>
    <w:rsid w:val="0016512B"/>
    <w:rsid w:val="002641A5"/>
    <w:rsid w:val="003636AE"/>
    <w:rsid w:val="003A704E"/>
    <w:rsid w:val="00490505"/>
    <w:rsid w:val="0053220D"/>
    <w:rsid w:val="00547179"/>
    <w:rsid w:val="005A2E67"/>
    <w:rsid w:val="009E1445"/>
    <w:rsid w:val="00A573CE"/>
    <w:rsid w:val="00A77C45"/>
    <w:rsid w:val="00A84C64"/>
    <w:rsid w:val="00B01B94"/>
    <w:rsid w:val="00C6235C"/>
    <w:rsid w:val="00D546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7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7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08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62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61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53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15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0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68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71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7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0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7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6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4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3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0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8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47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70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0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8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6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05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8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04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0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26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36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56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0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97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41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99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1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8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2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2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5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7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3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44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9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07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83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47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97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66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8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0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1131</Words>
  <Characters>6450</Characters>
  <Application>Microsoft Office Word</Application>
  <DocSecurity>0</DocSecurity>
  <Lines>53</Lines>
  <Paragraphs>15</Paragraphs>
  <ScaleCrop>false</ScaleCrop>
  <Company>Krokoz™</Company>
  <LinksUpToDate>false</LinksUpToDate>
  <CharactersWithSpaces>7566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2020-05-12T07:28:00Z</dcterms:created>
  <dcterms:modified xsi:type="dcterms:W3CDTF">2020-05-12T07:28:00Z</dcterms:modified>
</cp:coreProperties>
</file>