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A02" w:rsidRPr="00095A02" w:rsidRDefault="00095A02" w:rsidP="00095A02">
      <w:pPr>
        <w:spacing w:after="0" w:line="240" w:lineRule="auto"/>
        <w:jc w:val="center"/>
        <w:rPr>
          <w:rFonts w:ascii="Verdana" w:eastAsia="Times New Roman" w:hAnsi="Verdana" w:cs="Times New Roman"/>
          <w:b/>
          <w:bCs/>
          <w:sz w:val="21"/>
          <w:szCs w:val="21"/>
          <w:lang w:eastAsia="ru-RU"/>
        </w:rPr>
      </w:pPr>
      <w:r w:rsidRPr="00095A02">
        <w:rPr>
          <w:rFonts w:ascii="Arial" w:eastAsia="Times New Roman" w:hAnsi="Arial" w:cs="Arial"/>
          <w:b/>
          <w:bCs/>
          <w:sz w:val="24"/>
          <w:szCs w:val="24"/>
          <w:lang w:eastAsia="ru-RU"/>
        </w:rPr>
        <w:t>МИНИСТЕРСТВО ФИНАНСОВ РОССИЙСКОЙ ФЕДЕРАЦИИ</w:t>
      </w:r>
    </w:p>
    <w:p w:rsidR="00095A02" w:rsidRPr="00095A02" w:rsidRDefault="00095A02" w:rsidP="00095A02">
      <w:pPr>
        <w:spacing w:after="0" w:line="240" w:lineRule="auto"/>
        <w:jc w:val="center"/>
        <w:rPr>
          <w:rFonts w:ascii="Verdana" w:eastAsia="Times New Roman" w:hAnsi="Verdana" w:cs="Times New Roman"/>
          <w:b/>
          <w:bCs/>
          <w:sz w:val="21"/>
          <w:szCs w:val="21"/>
          <w:lang w:eastAsia="ru-RU"/>
        </w:rPr>
      </w:pPr>
      <w:r w:rsidRPr="00095A02">
        <w:rPr>
          <w:rFonts w:ascii="Arial" w:eastAsia="Times New Roman" w:hAnsi="Arial" w:cs="Arial"/>
          <w:b/>
          <w:bCs/>
          <w:sz w:val="24"/>
          <w:szCs w:val="24"/>
          <w:lang w:eastAsia="ru-RU"/>
        </w:rPr>
        <w:t> </w:t>
      </w:r>
    </w:p>
    <w:p w:rsidR="00095A02" w:rsidRPr="00095A02" w:rsidRDefault="00095A02" w:rsidP="00095A02">
      <w:pPr>
        <w:spacing w:after="0" w:line="240" w:lineRule="auto"/>
        <w:jc w:val="center"/>
        <w:rPr>
          <w:rFonts w:ascii="Verdana" w:eastAsia="Times New Roman" w:hAnsi="Verdana" w:cs="Times New Roman"/>
          <w:b/>
          <w:bCs/>
          <w:sz w:val="21"/>
          <w:szCs w:val="21"/>
          <w:lang w:eastAsia="ru-RU"/>
        </w:rPr>
      </w:pPr>
      <w:r w:rsidRPr="00095A02">
        <w:rPr>
          <w:rFonts w:ascii="Arial" w:eastAsia="Times New Roman" w:hAnsi="Arial" w:cs="Arial"/>
          <w:b/>
          <w:bCs/>
          <w:sz w:val="24"/>
          <w:szCs w:val="24"/>
          <w:lang w:eastAsia="ru-RU"/>
        </w:rPr>
        <w:t>ПИСЬМО</w:t>
      </w:r>
    </w:p>
    <w:p w:rsidR="00095A02" w:rsidRPr="00095A02" w:rsidRDefault="00095A02" w:rsidP="00095A02">
      <w:pPr>
        <w:spacing w:after="0" w:line="240" w:lineRule="auto"/>
        <w:jc w:val="center"/>
        <w:rPr>
          <w:rFonts w:ascii="Verdana" w:eastAsia="Times New Roman" w:hAnsi="Verdana" w:cs="Times New Roman"/>
          <w:b/>
          <w:bCs/>
          <w:sz w:val="21"/>
          <w:szCs w:val="21"/>
          <w:lang w:eastAsia="ru-RU"/>
        </w:rPr>
      </w:pPr>
      <w:r w:rsidRPr="00095A02">
        <w:rPr>
          <w:rFonts w:ascii="Arial" w:eastAsia="Times New Roman" w:hAnsi="Arial" w:cs="Arial"/>
          <w:b/>
          <w:bCs/>
          <w:sz w:val="24"/>
          <w:szCs w:val="24"/>
          <w:lang w:eastAsia="ru-RU"/>
        </w:rPr>
        <w:t>от 28 мая 2020 г. N 24-03-07/45277</w:t>
      </w:r>
    </w:p>
    <w:p w:rsidR="00095A02" w:rsidRPr="00095A02" w:rsidRDefault="00095A02" w:rsidP="00095A02">
      <w:pPr>
        <w:spacing w:after="0" w:line="240" w:lineRule="auto"/>
        <w:rPr>
          <w:rFonts w:ascii="Verdana" w:eastAsia="Times New Roman" w:hAnsi="Verdana" w:cs="Times New Roman"/>
          <w:sz w:val="21"/>
          <w:szCs w:val="21"/>
          <w:lang w:eastAsia="ru-RU"/>
        </w:rPr>
      </w:pPr>
      <w:r w:rsidRPr="00095A02">
        <w:rPr>
          <w:rFonts w:ascii="Times New Roman" w:eastAsia="Times New Roman" w:hAnsi="Times New Roman" w:cs="Times New Roman"/>
          <w:sz w:val="24"/>
          <w:szCs w:val="24"/>
          <w:lang w:eastAsia="ru-RU"/>
        </w:rPr>
        <w:t> </w:t>
      </w:r>
    </w:p>
    <w:p w:rsidR="00095A02" w:rsidRPr="00095A02" w:rsidRDefault="00095A02" w:rsidP="00095A02">
      <w:pPr>
        <w:spacing w:after="0" w:line="240" w:lineRule="auto"/>
        <w:ind w:firstLine="540"/>
        <w:jc w:val="both"/>
        <w:rPr>
          <w:rFonts w:ascii="Verdana" w:eastAsia="Times New Roman" w:hAnsi="Verdana" w:cs="Times New Roman"/>
          <w:sz w:val="21"/>
          <w:szCs w:val="21"/>
          <w:lang w:eastAsia="ru-RU"/>
        </w:rPr>
      </w:pPr>
      <w:r w:rsidRPr="00095A02">
        <w:rPr>
          <w:rFonts w:ascii="Times New Roman" w:eastAsia="Times New Roman" w:hAnsi="Times New Roman" w:cs="Times New Roman"/>
          <w:sz w:val="24"/>
          <w:szCs w:val="24"/>
          <w:lang w:eastAsia="ru-RU"/>
        </w:rPr>
        <w:t>Департамент бюджетной политики в сфере контрактной системы Минфина России (далее - Департамент), рассмотрев обращение по вопросу о применении положений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(далее - Закон N 44-ФЗ) в части применения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утвержденных постановлением Правительства Российской Федерации от 30 августа 2017 г. N 1042 (далее - Правила), сообщает следующее.</w:t>
      </w:r>
    </w:p>
    <w:p w:rsidR="00095A02" w:rsidRPr="00095A02" w:rsidRDefault="00095A02" w:rsidP="00095A02">
      <w:pPr>
        <w:spacing w:after="0" w:line="240" w:lineRule="auto"/>
        <w:ind w:firstLine="540"/>
        <w:jc w:val="both"/>
        <w:rPr>
          <w:rFonts w:ascii="Verdana" w:eastAsia="Times New Roman" w:hAnsi="Verdana" w:cs="Times New Roman"/>
          <w:sz w:val="21"/>
          <w:szCs w:val="21"/>
          <w:lang w:eastAsia="ru-RU"/>
        </w:rPr>
      </w:pPr>
      <w:r w:rsidRPr="00095A02">
        <w:rPr>
          <w:rFonts w:ascii="Times New Roman" w:eastAsia="Times New Roman" w:hAnsi="Times New Roman" w:cs="Times New Roman"/>
          <w:sz w:val="24"/>
          <w:szCs w:val="24"/>
          <w:lang w:eastAsia="ru-RU"/>
        </w:rPr>
        <w:t>В соответствии с пунктом 11.8 Регламента Министерства финансов Российской Федерации, утвержденного приказом Министерства финансов Российской Федерации от 14 сентября 2018 г. N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w:t>
      </w:r>
    </w:p>
    <w:p w:rsidR="00095A02" w:rsidRPr="00095A02" w:rsidRDefault="00095A02" w:rsidP="00095A02">
      <w:pPr>
        <w:spacing w:after="0" w:line="240" w:lineRule="auto"/>
        <w:ind w:firstLine="540"/>
        <w:jc w:val="both"/>
        <w:rPr>
          <w:rFonts w:ascii="Verdana" w:eastAsia="Times New Roman" w:hAnsi="Verdana" w:cs="Times New Roman"/>
          <w:sz w:val="21"/>
          <w:szCs w:val="21"/>
          <w:lang w:eastAsia="ru-RU"/>
        </w:rPr>
      </w:pPr>
      <w:r w:rsidRPr="00095A02">
        <w:rPr>
          <w:rFonts w:ascii="Times New Roman" w:eastAsia="Times New Roman" w:hAnsi="Times New Roman" w:cs="Times New Roman"/>
          <w:sz w:val="24"/>
          <w:szCs w:val="24"/>
          <w:lang w:eastAsia="ru-RU"/>
        </w:rPr>
        <w:t>Согласно пункту 2 Правил подготовки нормативных правовых актов федеральных органов исполнительной власти и их государственной регистрации, утвержденных постановлением Правительства Российской Федерации от 13 августа 1997 г. N 1009, письма федеральных органов исполнительной власти не являются нормативными правовыми актами.</w:t>
      </w:r>
    </w:p>
    <w:p w:rsidR="00095A02" w:rsidRPr="00095A02" w:rsidRDefault="00095A02" w:rsidP="00095A02">
      <w:pPr>
        <w:spacing w:after="0" w:line="240" w:lineRule="auto"/>
        <w:ind w:firstLine="540"/>
        <w:jc w:val="both"/>
        <w:rPr>
          <w:rFonts w:ascii="Verdana" w:eastAsia="Times New Roman" w:hAnsi="Verdana" w:cs="Times New Roman"/>
          <w:sz w:val="21"/>
          <w:szCs w:val="21"/>
          <w:lang w:eastAsia="ru-RU"/>
        </w:rPr>
      </w:pPr>
      <w:r w:rsidRPr="00095A02">
        <w:rPr>
          <w:rFonts w:ascii="Times New Roman" w:eastAsia="Times New Roman" w:hAnsi="Times New Roman" w:cs="Times New Roman"/>
          <w:sz w:val="24"/>
          <w:szCs w:val="24"/>
          <w:lang w:eastAsia="ru-RU"/>
        </w:rPr>
        <w:t>В этой связи следует учитывать, что письма Минфина России и его структурных подразделений не содержат правовых норм, не направлены на установление, изменение или отмену таких норм, а содержащаяся в них позиция является мнением ведомства и не может рассматриваться в качестве общеобязательных государственных предписаний постоянного или временного характера.</w:t>
      </w:r>
    </w:p>
    <w:p w:rsidR="00095A02" w:rsidRPr="00095A02" w:rsidRDefault="00095A02" w:rsidP="00095A02">
      <w:pPr>
        <w:spacing w:after="0" w:line="240" w:lineRule="auto"/>
        <w:ind w:firstLine="540"/>
        <w:jc w:val="both"/>
        <w:rPr>
          <w:rFonts w:ascii="Verdana" w:eastAsia="Times New Roman" w:hAnsi="Verdana" w:cs="Times New Roman"/>
          <w:sz w:val="21"/>
          <w:szCs w:val="21"/>
          <w:lang w:eastAsia="ru-RU"/>
        </w:rPr>
      </w:pPr>
      <w:r w:rsidRPr="00095A02">
        <w:rPr>
          <w:rFonts w:ascii="Times New Roman" w:eastAsia="Times New Roman" w:hAnsi="Times New Roman" w:cs="Times New Roman"/>
          <w:sz w:val="24"/>
          <w:szCs w:val="24"/>
          <w:lang w:eastAsia="ru-RU"/>
        </w:rPr>
        <w:t>Также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095A02" w:rsidRPr="00095A02" w:rsidRDefault="00095A02" w:rsidP="00095A02">
      <w:pPr>
        <w:spacing w:after="0" w:line="240" w:lineRule="auto"/>
        <w:ind w:firstLine="540"/>
        <w:jc w:val="both"/>
        <w:rPr>
          <w:rFonts w:ascii="Verdana" w:eastAsia="Times New Roman" w:hAnsi="Verdana" w:cs="Times New Roman"/>
          <w:sz w:val="21"/>
          <w:szCs w:val="21"/>
          <w:lang w:eastAsia="ru-RU"/>
        </w:rPr>
      </w:pPr>
      <w:r w:rsidRPr="00095A02">
        <w:rPr>
          <w:rFonts w:ascii="Times New Roman" w:eastAsia="Times New Roman" w:hAnsi="Times New Roman" w:cs="Times New Roman"/>
          <w:sz w:val="24"/>
          <w:szCs w:val="24"/>
          <w:lang w:eastAsia="ru-RU"/>
        </w:rPr>
        <w:t>Вместе с тем Департамент считает необходимым отметить следующее.</w:t>
      </w:r>
    </w:p>
    <w:p w:rsidR="00095A02" w:rsidRPr="00095A02" w:rsidRDefault="00095A02" w:rsidP="00095A02">
      <w:pPr>
        <w:spacing w:after="0" w:line="240" w:lineRule="auto"/>
        <w:ind w:firstLine="540"/>
        <w:jc w:val="both"/>
        <w:rPr>
          <w:rFonts w:ascii="Verdana" w:eastAsia="Times New Roman" w:hAnsi="Verdana" w:cs="Times New Roman"/>
          <w:sz w:val="21"/>
          <w:szCs w:val="21"/>
          <w:lang w:eastAsia="ru-RU"/>
        </w:rPr>
      </w:pPr>
      <w:r w:rsidRPr="00095A02">
        <w:rPr>
          <w:rFonts w:ascii="Times New Roman" w:eastAsia="Times New Roman" w:hAnsi="Times New Roman" w:cs="Times New Roman"/>
          <w:sz w:val="24"/>
          <w:szCs w:val="24"/>
          <w:lang w:eastAsia="ru-RU"/>
        </w:rPr>
        <w:t>В соответствии с частью 4 статьи 34 Закона N 44-ФЗ в контракт включается обязательное условие об ответственности заказчика и поставщика (подрядчика, исполнителя) за неисполнение или ненадлежащее исполнение обязательств, предусмотренных контрактом.</w:t>
      </w:r>
    </w:p>
    <w:p w:rsidR="00095A02" w:rsidRPr="00095A02" w:rsidRDefault="00095A02" w:rsidP="00095A02">
      <w:pPr>
        <w:spacing w:after="0" w:line="240" w:lineRule="auto"/>
        <w:ind w:firstLine="540"/>
        <w:jc w:val="both"/>
        <w:rPr>
          <w:rFonts w:ascii="Verdana" w:eastAsia="Times New Roman" w:hAnsi="Verdana" w:cs="Times New Roman"/>
          <w:sz w:val="21"/>
          <w:szCs w:val="21"/>
          <w:lang w:eastAsia="ru-RU"/>
        </w:rPr>
      </w:pPr>
      <w:r w:rsidRPr="00095A02">
        <w:rPr>
          <w:rFonts w:ascii="Times New Roman" w:eastAsia="Times New Roman" w:hAnsi="Times New Roman" w:cs="Times New Roman"/>
          <w:sz w:val="24"/>
          <w:szCs w:val="24"/>
          <w:lang w:eastAsia="ru-RU"/>
        </w:rPr>
        <w:t>Согласно части 8 статьи 34 Закона N 44-ФЗ 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095A02" w:rsidRPr="00095A02" w:rsidRDefault="00095A02" w:rsidP="00095A02">
      <w:pPr>
        <w:spacing w:after="0" w:line="240" w:lineRule="auto"/>
        <w:ind w:firstLine="540"/>
        <w:jc w:val="both"/>
        <w:rPr>
          <w:rFonts w:ascii="Verdana" w:eastAsia="Times New Roman" w:hAnsi="Verdana" w:cs="Times New Roman"/>
          <w:sz w:val="21"/>
          <w:szCs w:val="21"/>
          <w:lang w:eastAsia="ru-RU"/>
        </w:rPr>
      </w:pPr>
      <w:r w:rsidRPr="00095A02">
        <w:rPr>
          <w:rFonts w:ascii="Times New Roman" w:eastAsia="Times New Roman" w:hAnsi="Times New Roman" w:cs="Times New Roman"/>
          <w:sz w:val="24"/>
          <w:szCs w:val="24"/>
          <w:lang w:eastAsia="ru-RU"/>
        </w:rPr>
        <w:t>В реализацию указанного положения Закона N 44-ФЗ приняты Правила.</w:t>
      </w:r>
    </w:p>
    <w:p w:rsidR="00095A02" w:rsidRPr="00095A02" w:rsidRDefault="00095A02" w:rsidP="00095A02">
      <w:pPr>
        <w:spacing w:after="0" w:line="240" w:lineRule="auto"/>
        <w:ind w:firstLine="540"/>
        <w:jc w:val="both"/>
        <w:rPr>
          <w:rFonts w:ascii="Verdana" w:eastAsia="Times New Roman" w:hAnsi="Verdana" w:cs="Times New Roman"/>
          <w:sz w:val="21"/>
          <w:szCs w:val="21"/>
          <w:lang w:eastAsia="ru-RU"/>
        </w:rPr>
      </w:pPr>
      <w:r w:rsidRPr="00095A02">
        <w:rPr>
          <w:rFonts w:ascii="Times New Roman" w:eastAsia="Times New Roman" w:hAnsi="Times New Roman" w:cs="Times New Roman"/>
          <w:sz w:val="24"/>
          <w:szCs w:val="24"/>
          <w:lang w:eastAsia="ru-RU"/>
        </w:rPr>
        <w:lastRenderedPageBreak/>
        <w:t>В соответствии с пунктом 4 Правил за каждый факт неисполнения или ненадлежащего исполнения поставщиком (подрядчиком, исполнителем) обязательств, предусмотренных контрактом, заключенным по результатам определения поставщика (подрядчика, исполнителя) в соответствии с пунктом 1 части 1 статьи 30 Закона N 44-ФЗ,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095A02" w:rsidRPr="00095A02" w:rsidRDefault="00095A02" w:rsidP="00095A02">
      <w:pPr>
        <w:spacing w:after="0" w:line="240" w:lineRule="auto"/>
        <w:ind w:firstLine="540"/>
        <w:jc w:val="both"/>
        <w:rPr>
          <w:rFonts w:ascii="Verdana" w:eastAsia="Times New Roman" w:hAnsi="Verdana" w:cs="Times New Roman"/>
          <w:sz w:val="21"/>
          <w:szCs w:val="21"/>
          <w:lang w:eastAsia="ru-RU"/>
        </w:rPr>
      </w:pPr>
      <w:r w:rsidRPr="00095A02">
        <w:rPr>
          <w:rFonts w:ascii="Times New Roman" w:eastAsia="Times New Roman" w:hAnsi="Times New Roman" w:cs="Times New Roman"/>
          <w:sz w:val="24"/>
          <w:szCs w:val="24"/>
          <w:lang w:eastAsia="ru-RU"/>
        </w:rPr>
        <w:t>Необходимо отметить, что в отличие от иных видов ответственности особенностью мер гражданско-правовой ответственности является то, что размер таких мер должен соответствовать понесенным потерпевшим (кредитором) убыткам.</w:t>
      </w:r>
    </w:p>
    <w:p w:rsidR="00095A02" w:rsidRPr="00095A02" w:rsidRDefault="00095A02" w:rsidP="00095A02">
      <w:pPr>
        <w:spacing w:after="0" w:line="240" w:lineRule="auto"/>
        <w:ind w:firstLine="540"/>
        <w:jc w:val="both"/>
        <w:rPr>
          <w:rFonts w:ascii="Verdana" w:eastAsia="Times New Roman" w:hAnsi="Verdana" w:cs="Times New Roman"/>
          <w:sz w:val="21"/>
          <w:szCs w:val="21"/>
          <w:lang w:eastAsia="ru-RU"/>
        </w:rPr>
      </w:pPr>
      <w:r w:rsidRPr="00095A02">
        <w:rPr>
          <w:rFonts w:ascii="Times New Roman" w:eastAsia="Times New Roman" w:hAnsi="Times New Roman" w:cs="Times New Roman"/>
          <w:sz w:val="24"/>
          <w:szCs w:val="24"/>
          <w:lang w:eastAsia="ru-RU"/>
        </w:rPr>
        <w:t>Таким образом, указанным пунктом Правил установлены минимальный и максимальный размеры штрафа, начисляемого за каждый факт неисполнения или ненадлежащего исполнения поставщиком (подрядчиком, исполнителем) обязательств, предусмотренных контрактом, заключенным в соответствии с пунктом 1 части 1 статьи 30 Закона N 44-ФЗ.</w:t>
      </w:r>
    </w:p>
    <w:p w:rsidR="00095A02" w:rsidRPr="00095A02" w:rsidRDefault="00095A02" w:rsidP="00095A02">
      <w:pPr>
        <w:spacing w:after="0" w:line="240" w:lineRule="auto"/>
        <w:rPr>
          <w:rFonts w:ascii="Verdana" w:eastAsia="Times New Roman" w:hAnsi="Verdana" w:cs="Times New Roman"/>
          <w:sz w:val="21"/>
          <w:szCs w:val="21"/>
          <w:lang w:eastAsia="ru-RU"/>
        </w:rPr>
      </w:pPr>
      <w:r w:rsidRPr="00095A02">
        <w:rPr>
          <w:rFonts w:ascii="Times New Roman" w:eastAsia="Times New Roman" w:hAnsi="Times New Roman" w:cs="Times New Roman"/>
          <w:sz w:val="24"/>
          <w:szCs w:val="24"/>
          <w:lang w:eastAsia="ru-RU"/>
        </w:rPr>
        <w:t> </w:t>
      </w:r>
    </w:p>
    <w:p w:rsidR="00095A02" w:rsidRPr="00095A02" w:rsidRDefault="00095A02" w:rsidP="00095A02">
      <w:pPr>
        <w:spacing w:after="0" w:line="240" w:lineRule="auto"/>
        <w:jc w:val="right"/>
        <w:rPr>
          <w:rFonts w:ascii="Verdana" w:eastAsia="Times New Roman" w:hAnsi="Verdana" w:cs="Times New Roman"/>
          <w:sz w:val="21"/>
          <w:szCs w:val="21"/>
          <w:lang w:eastAsia="ru-RU"/>
        </w:rPr>
      </w:pPr>
      <w:r w:rsidRPr="00095A02">
        <w:rPr>
          <w:rFonts w:ascii="Times New Roman" w:eastAsia="Times New Roman" w:hAnsi="Times New Roman" w:cs="Times New Roman"/>
          <w:sz w:val="24"/>
          <w:szCs w:val="24"/>
          <w:lang w:eastAsia="ru-RU"/>
        </w:rPr>
        <w:t>Заместитель директора Департамента</w:t>
      </w:r>
    </w:p>
    <w:p w:rsidR="00095A02" w:rsidRPr="00095A02" w:rsidRDefault="00095A02" w:rsidP="00095A02">
      <w:pPr>
        <w:spacing w:after="0" w:line="240" w:lineRule="auto"/>
        <w:jc w:val="right"/>
        <w:rPr>
          <w:rFonts w:ascii="Verdana" w:eastAsia="Times New Roman" w:hAnsi="Verdana" w:cs="Times New Roman"/>
          <w:sz w:val="21"/>
          <w:szCs w:val="21"/>
          <w:lang w:eastAsia="ru-RU"/>
        </w:rPr>
      </w:pPr>
      <w:r w:rsidRPr="00095A02">
        <w:rPr>
          <w:rFonts w:ascii="Times New Roman" w:eastAsia="Times New Roman" w:hAnsi="Times New Roman" w:cs="Times New Roman"/>
          <w:sz w:val="24"/>
          <w:szCs w:val="24"/>
          <w:lang w:eastAsia="ru-RU"/>
        </w:rPr>
        <w:t>Д.А.ГОТОВЦЕВ</w:t>
      </w:r>
    </w:p>
    <w:p w:rsidR="00095A02" w:rsidRPr="00095A02" w:rsidRDefault="00095A02" w:rsidP="00095A02">
      <w:pPr>
        <w:spacing w:after="0" w:line="240" w:lineRule="auto"/>
        <w:rPr>
          <w:rFonts w:ascii="Verdana" w:eastAsia="Times New Roman" w:hAnsi="Verdana" w:cs="Times New Roman"/>
          <w:sz w:val="21"/>
          <w:szCs w:val="21"/>
          <w:lang w:eastAsia="ru-RU"/>
        </w:rPr>
      </w:pPr>
      <w:r w:rsidRPr="00095A02">
        <w:rPr>
          <w:rFonts w:ascii="Times New Roman" w:eastAsia="Times New Roman" w:hAnsi="Times New Roman" w:cs="Times New Roman"/>
          <w:sz w:val="24"/>
          <w:szCs w:val="24"/>
          <w:lang w:eastAsia="ru-RU"/>
        </w:rPr>
        <w:t>28.05.2020</w:t>
      </w:r>
    </w:p>
    <w:p w:rsidR="00B01B94" w:rsidRPr="00095A02" w:rsidRDefault="00B01B94" w:rsidP="00095A02"/>
    <w:sectPr w:rsidR="00B01B94" w:rsidRPr="00095A02" w:rsidSect="00B01B9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9F4154"/>
    <w:rsid w:val="00095A02"/>
    <w:rsid w:val="003636AE"/>
    <w:rsid w:val="00490505"/>
    <w:rsid w:val="00716E63"/>
    <w:rsid w:val="00757054"/>
    <w:rsid w:val="007F00E2"/>
    <w:rsid w:val="009E1445"/>
    <w:rsid w:val="009F4154"/>
    <w:rsid w:val="00A930D4"/>
    <w:rsid w:val="00B01B94"/>
    <w:rsid w:val="00C84280"/>
    <w:rsid w:val="00EC7C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1B9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4861271">
      <w:bodyDiv w:val="1"/>
      <w:marLeft w:val="0"/>
      <w:marRight w:val="0"/>
      <w:marTop w:val="0"/>
      <w:marBottom w:val="0"/>
      <w:divBdr>
        <w:top w:val="none" w:sz="0" w:space="0" w:color="auto"/>
        <w:left w:val="none" w:sz="0" w:space="0" w:color="auto"/>
        <w:bottom w:val="none" w:sz="0" w:space="0" w:color="auto"/>
        <w:right w:val="none" w:sz="0" w:space="0" w:color="auto"/>
      </w:divBdr>
      <w:divsChild>
        <w:div w:id="2036728937">
          <w:marLeft w:val="0"/>
          <w:marRight w:val="0"/>
          <w:marTop w:val="0"/>
          <w:marBottom w:val="0"/>
          <w:divBdr>
            <w:top w:val="none" w:sz="0" w:space="0" w:color="auto"/>
            <w:left w:val="none" w:sz="0" w:space="0" w:color="auto"/>
            <w:bottom w:val="none" w:sz="0" w:space="0" w:color="auto"/>
            <w:right w:val="none" w:sz="0" w:space="0" w:color="auto"/>
          </w:divBdr>
        </w:div>
        <w:div w:id="289750143">
          <w:marLeft w:val="0"/>
          <w:marRight w:val="0"/>
          <w:marTop w:val="0"/>
          <w:marBottom w:val="0"/>
          <w:divBdr>
            <w:top w:val="none" w:sz="0" w:space="0" w:color="auto"/>
            <w:left w:val="none" w:sz="0" w:space="0" w:color="auto"/>
            <w:bottom w:val="none" w:sz="0" w:space="0" w:color="auto"/>
            <w:right w:val="none" w:sz="0" w:space="0" w:color="auto"/>
          </w:divBdr>
          <w:divsChild>
            <w:div w:id="1167330778">
              <w:marLeft w:val="0"/>
              <w:marRight w:val="0"/>
              <w:marTop w:val="0"/>
              <w:marBottom w:val="0"/>
              <w:divBdr>
                <w:top w:val="none" w:sz="0" w:space="0" w:color="auto"/>
                <w:left w:val="none" w:sz="0" w:space="0" w:color="auto"/>
                <w:bottom w:val="none" w:sz="0" w:space="0" w:color="auto"/>
                <w:right w:val="none" w:sz="0" w:space="0" w:color="auto"/>
              </w:divBdr>
            </w:div>
            <w:div w:id="1654067485">
              <w:marLeft w:val="0"/>
              <w:marRight w:val="0"/>
              <w:marTop w:val="0"/>
              <w:marBottom w:val="0"/>
              <w:divBdr>
                <w:top w:val="none" w:sz="0" w:space="0" w:color="auto"/>
                <w:left w:val="none" w:sz="0" w:space="0" w:color="auto"/>
                <w:bottom w:val="none" w:sz="0" w:space="0" w:color="auto"/>
                <w:right w:val="none" w:sz="0" w:space="0" w:color="auto"/>
              </w:divBdr>
            </w:div>
          </w:divsChild>
        </w:div>
        <w:div w:id="2134789581">
          <w:marLeft w:val="0"/>
          <w:marRight w:val="0"/>
          <w:marTop w:val="0"/>
          <w:marBottom w:val="0"/>
          <w:divBdr>
            <w:top w:val="none" w:sz="0" w:space="0" w:color="auto"/>
            <w:left w:val="none" w:sz="0" w:space="0" w:color="auto"/>
            <w:bottom w:val="none" w:sz="0" w:space="0" w:color="auto"/>
            <w:right w:val="none" w:sz="0" w:space="0" w:color="auto"/>
          </w:divBdr>
        </w:div>
        <w:div w:id="1224298315">
          <w:marLeft w:val="0"/>
          <w:marRight w:val="0"/>
          <w:marTop w:val="0"/>
          <w:marBottom w:val="0"/>
          <w:divBdr>
            <w:top w:val="none" w:sz="0" w:space="0" w:color="auto"/>
            <w:left w:val="none" w:sz="0" w:space="0" w:color="auto"/>
            <w:bottom w:val="none" w:sz="0" w:space="0" w:color="auto"/>
            <w:right w:val="none" w:sz="0" w:space="0" w:color="auto"/>
          </w:divBdr>
        </w:div>
      </w:divsChild>
    </w:div>
    <w:div w:id="584536090">
      <w:bodyDiv w:val="1"/>
      <w:marLeft w:val="0"/>
      <w:marRight w:val="0"/>
      <w:marTop w:val="0"/>
      <w:marBottom w:val="0"/>
      <w:divBdr>
        <w:top w:val="none" w:sz="0" w:space="0" w:color="auto"/>
        <w:left w:val="none" w:sz="0" w:space="0" w:color="auto"/>
        <w:bottom w:val="none" w:sz="0" w:space="0" w:color="auto"/>
        <w:right w:val="none" w:sz="0" w:space="0" w:color="auto"/>
      </w:divBdr>
      <w:divsChild>
        <w:div w:id="407925503">
          <w:marLeft w:val="0"/>
          <w:marRight w:val="0"/>
          <w:marTop w:val="0"/>
          <w:marBottom w:val="0"/>
          <w:divBdr>
            <w:top w:val="none" w:sz="0" w:space="0" w:color="auto"/>
            <w:left w:val="none" w:sz="0" w:space="0" w:color="auto"/>
            <w:bottom w:val="none" w:sz="0" w:space="0" w:color="auto"/>
            <w:right w:val="none" w:sz="0" w:space="0" w:color="auto"/>
          </w:divBdr>
        </w:div>
        <w:div w:id="1193960564">
          <w:marLeft w:val="0"/>
          <w:marRight w:val="0"/>
          <w:marTop w:val="0"/>
          <w:marBottom w:val="0"/>
          <w:divBdr>
            <w:top w:val="none" w:sz="0" w:space="0" w:color="auto"/>
            <w:left w:val="none" w:sz="0" w:space="0" w:color="auto"/>
            <w:bottom w:val="none" w:sz="0" w:space="0" w:color="auto"/>
            <w:right w:val="none" w:sz="0" w:space="0" w:color="auto"/>
          </w:divBdr>
        </w:div>
        <w:div w:id="1257791035">
          <w:marLeft w:val="0"/>
          <w:marRight w:val="0"/>
          <w:marTop w:val="0"/>
          <w:marBottom w:val="0"/>
          <w:divBdr>
            <w:top w:val="none" w:sz="0" w:space="0" w:color="auto"/>
            <w:left w:val="none" w:sz="0" w:space="0" w:color="auto"/>
            <w:bottom w:val="none" w:sz="0" w:space="0" w:color="auto"/>
            <w:right w:val="none" w:sz="0" w:space="0" w:color="auto"/>
          </w:divBdr>
        </w:div>
      </w:divsChild>
    </w:div>
    <w:div w:id="882862696">
      <w:bodyDiv w:val="1"/>
      <w:marLeft w:val="0"/>
      <w:marRight w:val="0"/>
      <w:marTop w:val="0"/>
      <w:marBottom w:val="0"/>
      <w:divBdr>
        <w:top w:val="none" w:sz="0" w:space="0" w:color="auto"/>
        <w:left w:val="none" w:sz="0" w:space="0" w:color="auto"/>
        <w:bottom w:val="none" w:sz="0" w:space="0" w:color="auto"/>
        <w:right w:val="none" w:sz="0" w:space="0" w:color="auto"/>
      </w:divBdr>
      <w:divsChild>
        <w:div w:id="958100630">
          <w:marLeft w:val="0"/>
          <w:marRight w:val="0"/>
          <w:marTop w:val="0"/>
          <w:marBottom w:val="0"/>
          <w:divBdr>
            <w:top w:val="none" w:sz="0" w:space="0" w:color="auto"/>
            <w:left w:val="none" w:sz="0" w:space="0" w:color="auto"/>
            <w:bottom w:val="none" w:sz="0" w:space="0" w:color="auto"/>
            <w:right w:val="none" w:sz="0" w:space="0" w:color="auto"/>
          </w:divBdr>
        </w:div>
        <w:div w:id="1257665407">
          <w:marLeft w:val="0"/>
          <w:marRight w:val="0"/>
          <w:marTop w:val="0"/>
          <w:marBottom w:val="0"/>
          <w:divBdr>
            <w:top w:val="none" w:sz="0" w:space="0" w:color="auto"/>
            <w:left w:val="none" w:sz="0" w:space="0" w:color="auto"/>
            <w:bottom w:val="none" w:sz="0" w:space="0" w:color="auto"/>
            <w:right w:val="none" w:sz="0" w:space="0" w:color="auto"/>
          </w:divBdr>
        </w:div>
        <w:div w:id="130710128">
          <w:marLeft w:val="0"/>
          <w:marRight w:val="0"/>
          <w:marTop w:val="0"/>
          <w:marBottom w:val="0"/>
          <w:divBdr>
            <w:top w:val="none" w:sz="0" w:space="0" w:color="auto"/>
            <w:left w:val="none" w:sz="0" w:space="0" w:color="auto"/>
            <w:bottom w:val="none" w:sz="0" w:space="0" w:color="auto"/>
            <w:right w:val="none" w:sz="0" w:space="0" w:color="auto"/>
          </w:divBdr>
        </w:div>
      </w:divsChild>
    </w:div>
    <w:div w:id="1317151992">
      <w:bodyDiv w:val="1"/>
      <w:marLeft w:val="0"/>
      <w:marRight w:val="0"/>
      <w:marTop w:val="0"/>
      <w:marBottom w:val="0"/>
      <w:divBdr>
        <w:top w:val="none" w:sz="0" w:space="0" w:color="auto"/>
        <w:left w:val="none" w:sz="0" w:space="0" w:color="auto"/>
        <w:bottom w:val="none" w:sz="0" w:space="0" w:color="auto"/>
        <w:right w:val="none" w:sz="0" w:space="0" w:color="auto"/>
      </w:divBdr>
      <w:divsChild>
        <w:div w:id="1235967521">
          <w:marLeft w:val="0"/>
          <w:marRight w:val="0"/>
          <w:marTop w:val="0"/>
          <w:marBottom w:val="0"/>
          <w:divBdr>
            <w:top w:val="none" w:sz="0" w:space="0" w:color="auto"/>
            <w:left w:val="none" w:sz="0" w:space="0" w:color="auto"/>
            <w:bottom w:val="none" w:sz="0" w:space="0" w:color="auto"/>
            <w:right w:val="none" w:sz="0" w:space="0" w:color="auto"/>
          </w:divBdr>
        </w:div>
        <w:div w:id="723019862">
          <w:marLeft w:val="0"/>
          <w:marRight w:val="0"/>
          <w:marTop w:val="0"/>
          <w:marBottom w:val="0"/>
          <w:divBdr>
            <w:top w:val="none" w:sz="0" w:space="0" w:color="auto"/>
            <w:left w:val="none" w:sz="0" w:space="0" w:color="auto"/>
            <w:bottom w:val="none" w:sz="0" w:space="0" w:color="auto"/>
            <w:right w:val="none" w:sz="0" w:space="0" w:color="auto"/>
          </w:divBdr>
        </w:div>
        <w:div w:id="1302882764">
          <w:marLeft w:val="0"/>
          <w:marRight w:val="0"/>
          <w:marTop w:val="0"/>
          <w:marBottom w:val="0"/>
          <w:divBdr>
            <w:top w:val="none" w:sz="0" w:space="0" w:color="auto"/>
            <w:left w:val="none" w:sz="0" w:space="0" w:color="auto"/>
            <w:bottom w:val="none" w:sz="0" w:space="0" w:color="auto"/>
            <w:right w:val="none" w:sz="0" w:space="0" w:color="auto"/>
          </w:divBdr>
        </w:div>
      </w:divsChild>
    </w:div>
    <w:div w:id="1450931194">
      <w:bodyDiv w:val="1"/>
      <w:marLeft w:val="0"/>
      <w:marRight w:val="0"/>
      <w:marTop w:val="0"/>
      <w:marBottom w:val="0"/>
      <w:divBdr>
        <w:top w:val="none" w:sz="0" w:space="0" w:color="auto"/>
        <w:left w:val="none" w:sz="0" w:space="0" w:color="auto"/>
        <w:bottom w:val="none" w:sz="0" w:space="0" w:color="auto"/>
        <w:right w:val="none" w:sz="0" w:space="0" w:color="auto"/>
      </w:divBdr>
      <w:divsChild>
        <w:div w:id="1529369158">
          <w:marLeft w:val="0"/>
          <w:marRight w:val="0"/>
          <w:marTop w:val="0"/>
          <w:marBottom w:val="0"/>
          <w:divBdr>
            <w:top w:val="none" w:sz="0" w:space="0" w:color="auto"/>
            <w:left w:val="none" w:sz="0" w:space="0" w:color="auto"/>
            <w:bottom w:val="none" w:sz="0" w:space="0" w:color="auto"/>
            <w:right w:val="none" w:sz="0" w:space="0" w:color="auto"/>
          </w:divBdr>
        </w:div>
        <w:div w:id="1616211474">
          <w:marLeft w:val="0"/>
          <w:marRight w:val="0"/>
          <w:marTop w:val="0"/>
          <w:marBottom w:val="0"/>
          <w:divBdr>
            <w:top w:val="none" w:sz="0" w:space="0" w:color="auto"/>
            <w:left w:val="none" w:sz="0" w:space="0" w:color="auto"/>
            <w:bottom w:val="none" w:sz="0" w:space="0" w:color="auto"/>
            <w:right w:val="none" w:sz="0" w:space="0" w:color="auto"/>
          </w:divBdr>
        </w:div>
        <w:div w:id="1358845630">
          <w:marLeft w:val="0"/>
          <w:marRight w:val="0"/>
          <w:marTop w:val="0"/>
          <w:marBottom w:val="0"/>
          <w:divBdr>
            <w:top w:val="none" w:sz="0" w:space="0" w:color="auto"/>
            <w:left w:val="none" w:sz="0" w:space="0" w:color="auto"/>
            <w:bottom w:val="none" w:sz="0" w:space="0" w:color="auto"/>
            <w:right w:val="none" w:sz="0" w:space="0" w:color="auto"/>
          </w:divBdr>
        </w:div>
      </w:divsChild>
    </w:div>
    <w:div w:id="1761022623">
      <w:bodyDiv w:val="1"/>
      <w:marLeft w:val="0"/>
      <w:marRight w:val="0"/>
      <w:marTop w:val="0"/>
      <w:marBottom w:val="0"/>
      <w:divBdr>
        <w:top w:val="none" w:sz="0" w:space="0" w:color="auto"/>
        <w:left w:val="none" w:sz="0" w:space="0" w:color="auto"/>
        <w:bottom w:val="none" w:sz="0" w:space="0" w:color="auto"/>
        <w:right w:val="none" w:sz="0" w:space="0" w:color="auto"/>
      </w:divBdr>
      <w:divsChild>
        <w:div w:id="903756368">
          <w:marLeft w:val="0"/>
          <w:marRight w:val="0"/>
          <w:marTop w:val="0"/>
          <w:marBottom w:val="0"/>
          <w:divBdr>
            <w:top w:val="none" w:sz="0" w:space="0" w:color="auto"/>
            <w:left w:val="none" w:sz="0" w:space="0" w:color="auto"/>
            <w:bottom w:val="none" w:sz="0" w:space="0" w:color="auto"/>
            <w:right w:val="none" w:sz="0" w:space="0" w:color="auto"/>
          </w:divBdr>
        </w:div>
        <w:div w:id="490100524">
          <w:marLeft w:val="0"/>
          <w:marRight w:val="0"/>
          <w:marTop w:val="0"/>
          <w:marBottom w:val="0"/>
          <w:divBdr>
            <w:top w:val="none" w:sz="0" w:space="0" w:color="auto"/>
            <w:left w:val="none" w:sz="0" w:space="0" w:color="auto"/>
            <w:bottom w:val="none" w:sz="0" w:space="0" w:color="auto"/>
            <w:right w:val="none" w:sz="0" w:space="0" w:color="auto"/>
          </w:divBdr>
        </w:div>
        <w:div w:id="1526671115">
          <w:marLeft w:val="0"/>
          <w:marRight w:val="0"/>
          <w:marTop w:val="0"/>
          <w:marBottom w:val="0"/>
          <w:divBdr>
            <w:top w:val="none" w:sz="0" w:space="0" w:color="auto"/>
            <w:left w:val="none" w:sz="0" w:space="0" w:color="auto"/>
            <w:bottom w:val="none" w:sz="0" w:space="0" w:color="auto"/>
            <w:right w:val="none" w:sz="0" w:space="0" w:color="auto"/>
          </w:divBdr>
        </w:div>
      </w:divsChild>
    </w:div>
    <w:div w:id="2032949382">
      <w:bodyDiv w:val="1"/>
      <w:marLeft w:val="0"/>
      <w:marRight w:val="0"/>
      <w:marTop w:val="0"/>
      <w:marBottom w:val="0"/>
      <w:divBdr>
        <w:top w:val="none" w:sz="0" w:space="0" w:color="auto"/>
        <w:left w:val="none" w:sz="0" w:space="0" w:color="auto"/>
        <w:bottom w:val="none" w:sz="0" w:space="0" w:color="auto"/>
        <w:right w:val="none" w:sz="0" w:space="0" w:color="auto"/>
      </w:divBdr>
      <w:divsChild>
        <w:div w:id="446122067">
          <w:marLeft w:val="0"/>
          <w:marRight w:val="0"/>
          <w:marTop w:val="0"/>
          <w:marBottom w:val="0"/>
          <w:divBdr>
            <w:top w:val="none" w:sz="0" w:space="0" w:color="auto"/>
            <w:left w:val="none" w:sz="0" w:space="0" w:color="auto"/>
            <w:bottom w:val="none" w:sz="0" w:space="0" w:color="auto"/>
            <w:right w:val="none" w:sz="0" w:space="0" w:color="auto"/>
          </w:divBdr>
        </w:div>
        <w:div w:id="785271037">
          <w:marLeft w:val="0"/>
          <w:marRight w:val="0"/>
          <w:marTop w:val="0"/>
          <w:marBottom w:val="0"/>
          <w:divBdr>
            <w:top w:val="none" w:sz="0" w:space="0" w:color="auto"/>
            <w:left w:val="none" w:sz="0" w:space="0" w:color="auto"/>
            <w:bottom w:val="none" w:sz="0" w:space="0" w:color="auto"/>
            <w:right w:val="none" w:sz="0" w:space="0" w:color="auto"/>
          </w:divBdr>
        </w:div>
        <w:div w:id="966163550">
          <w:marLeft w:val="0"/>
          <w:marRight w:val="0"/>
          <w:marTop w:val="0"/>
          <w:marBottom w:val="0"/>
          <w:divBdr>
            <w:top w:val="none" w:sz="0" w:space="0" w:color="auto"/>
            <w:left w:val="none" w:sz="0" w:space="0" w:color="auto"/>
            <w:bottom w:val="none" w:sz="0" w:space="0" w:color="auto"/>
            <w:right w:val="none" w:sz="0" w:space="0" w:color="auto"/>
          </w:divBdr>
        </w:div>
        <w:div w:id="10778211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672</Words>
  <Characters>3836</Characters>
  <Application>Microsoft Office Word</Application>
  <DocSecurity>0</DocSecurity>
  <Lines>31</Lines>
  <Paragraphs>8</Paragraphs>
  <ScaleCrop>false</ScaleCrop>
  <Company>Krokoz™</Company>
  <LinksUpToDate>false</LinksUpToDate>
  <CharactersWithSpaces>4500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2020-07-30T13:16:00Z</dcterms:created>
  <dcterms:modified xsi:type="dcterms:W3CDTF">2020-07-30T13:16:00Z</dcterms:modified>
</cp:coreProperties>
</file>