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2A" w:rsidRDefault="00CB792A" w:rsidP="00CB7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92A">
        <w:rPr>
          <w:rFonts w:ascii="Times New Roman" w:hAnsi="Times New Roman" w:cs="Times New Roman"/>
          <w:b/>
          <w:sz w:val="24"/>
          <w:szCs w:val="24"/>
        </w:rPr>
        <w:t xml:space="preserve">Письмо ФАС РФ от 10.11.2020 № ИА/98678/20 </w:t>
      </w:r>
    </w:p>
    <w:p w:rsidR="00CB792A" w:rsidRPr="00CB792A" w:rsidRDefault="00CB792A" w:rsidP="00CB7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92A">
        <w:rPr>
          <w:rFonts w:ascii="Times New Roman" w:hAnsi="Times New Roman" w:cs="Times New Roman"/>
          <w:b/>
          <w:sz w:val="24"/>
          <w:szCs w:val="24"/>
        </w:rPr>
        <w:t xml:space="preserve">"О формировании документации о закупке ЛП с МНН "Инсулин </w:t>
      </w:r>
      <w:proofErr w:type="spellStart"/>
      <w:r w:rsidRPr="00CB792A">
        <w:rPr>
          <w:rFonts w:ascii="Times New Roman" w:hAnsi="Times New Roman" w:cs="Times New Roman"/>
          <w:b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b/>
          <w:sz w:val="24"/>
          <w:szCs w:val="24"/>
        </w:rPr>
        <w:t>"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>В соответствии со статьей 17 Федерального закона от 26.07.2006 № 135-ФЗ «О защите конкуренции» (далее - Закон о защите конкуренции)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конкуренции. При этом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 если организаторами торгов, запроса котировок, запроса предложений или заказчиками являются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государственные внебюджетные фонды, а также при проведении торгов, запроса котировок, запроса предложений в случае закупок товаров, работ,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торгах, запросе котировок, запросе предложений.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>Частью 5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определено, что особенности описания отдельных видов объектов закупок могут устанавливаться Правительством Российской Федерации.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92A">
        <w:rPr>
          <w:rFonts w:ascii="Times New Roman" w:hAnsi="Times New Roman" w:cs="Times New Roman"/>
          <w:sz w:val="24"/>
          <w:szCs w:val="24"/>
        </w:rPr>
        <w:t>В соответствии с подпунктом «б» пункта 2 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утвержденных постановлением Правительства Российской Федерации от 15.11.2017 № 1380 (далее - Особенности, Постановление), при описании в документации о закупке заказчики помимо сведений, предусмотренных пунктом 6 части 1 статьи 33 Закона о контрактной системе, указывают дозировку лекарственного препарата с возможностью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поставки лекарственного препарата в кратной дозировке и двойном количестве (например, при закупке таблетки с дозировкой 300 мг в документации о закупке указывается: 1 таблетка с дозировкой 300 мг или 2 таблетки с дозировкой 150 мг), а также с возможностью поставки лекарственного препарата в некратных эквивалентных дозировках, позволяющих достичь одинакового терапевтического эффекта (например, флаконы 2,5 мг, или 3 мг, или 3,5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 мг), допускается указание концентрации лекарственного препарата без установления кратности.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 xml:space="preserve">Согласно сведениям государственного реестра лекарственных средств, ведение которого предусмотрено статьей 33 Федерального закона от 12.04.2010 № 61-ФЗ «Об обращении лекарственных средств» (далее - Реестр), на территории Российской Федерации в рамках международного непатентованного наименования (далее - МНН)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» зарегистрированы следующие лекарственные препараты: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>-</w:t>
      </w:r>
      <w:r w:rsidRPr="00CB792A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Лантус®СолоСтар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®» в дозировке 100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/мл (владелец/держатель регистрационного удостоверения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Санофи-Авентис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Дойчланд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ГмбХ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, Германия),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>-</w:t>
      </w:r>
      <w:r w:rsidRPr="00CB792A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Туджео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СолоСтар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®» в дозировке 300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/мл (владелец/держатель регистрационного удостоверения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Санофи-Авентис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Дойчланд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ГмбХ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, Германия),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>-</w:t>
      </w:r>
      <w:r w:rsidRPr="00CB792A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РинГлар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®» в дозировке 100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>/мл (владелец/держатель регистрационного удостоверения ООО «ГЕРОФАРМ», Россия),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>-</w:t>
      </w:r>
      <w:r w:rsidRPr="00CB792A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Базаглар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®» в дозировке 100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/мл (владелец/держатель регистрационного удостоверения Эли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Лилли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Восток С.А., Швейцария),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>-</w:t>
      </w:r>
      <w:r w:rsidRPr="00CB792A">
        <w:rPr>
          <w:rFonts w:ascii="Times New Roman" w:hAnsi="Times New Roman" w:cs="Times New Roman"/>
          <w:sz w:val="24"/>
          <w:szCs w:val="24"/>
        </w:rPr>
        <w:tab/>
        <w:t>«Инсулин</w:t>
      </w:r>
      <w:r w:rsidRPr="00CB79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»</w:t>
      </w:r>
      <w:r w:rsidRPr="00CB792A">
        <w:rPr>
          <w:rFonts w:ascii="Times New Roman" w:hAnsi="Times New Roman" w:cs="Times New Roman"/>
          <w:sz w:val="24"/>
          <w:szCs w:val="24"/>
        </w:rPr>
        <w:tab/>
        <w:t>в</w:t>
      </w:r>
      <w:r w:rsidRPr="00CB792A">
        <w:rPr>
          <w:rFonts w:ascii="Times New Roman" w:hAnsi="Times New Roman" w:cs="Times New Roman"/>
          <w:sz w:val="24"/>
          <w:szCs w:val="24"/>
        </w:rPr>
        <w:tab/>
        <w:t>дозировке</w:t>
      </w:r>
      <w:r w:rsidRPr="00CB792A">
        <w:rPr>
          <w:rFonts w:ascii="Times New Roman" w:hAnsi="Times New Roman" w:cs="Times New Roman"/>
          <w:sz w:val="24"/>
          <w:szCs w:val="24"/>
        </w:rPr>
        <w:tab/>
        <w:t>100</w:t>
      </w:r>
      <w:r w:rsidRPr="00CB79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>/мл</w:t>
      </w:r>
      <w:r w:rsidRPr="00CB792A">
        <w:rPr>
          <w:rFonts w:ascii="Times New Roman" w:hAnsi="Times New Roman" w:cs="Times New Roman"/>
          <w:sz w:val="24"/>
          <w:szCs w:val="24"/>
        </w:rPr>
        <w:tab/>
        <w:t>(владелец/держатель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 xml:space="preserve">регистрационного удостоверения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Санофи-Авентис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Дойчланд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ГмбХ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, Германия).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>-</w:t>
      </w:r>
      <w:r w:rsidRPr="00CB792A">
        <w:rPr>
          <w:rFonts w:ascii="Times New Roman" w:hAnsi="Times New Roman" w:cs="Times New Roman"/>
          <w:sz w:val="24"/>
          <w:szCs w:val="24"/>
        </w:rPr>
        <w:tab/>
        <w:t>«Инсулин</w:t>
      </w:r>
      <w:r w:rsidRPr="00CB79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»</w:t>
      </w:r>
      <w:r w:rsidRPr="00CB792A">
        <w:rPr>
          <w:rFonts w:ascii="Times New Roman" w:hAnsi="Times New Roman" w:cs="Times New Roman"/>
          <w:sz w:val="24"/>
          <w:szCs w:val="24"/>
        </w:rPr>
        <w:tab/>
        <w:t>в</w:t>
      </w:r>
      <w:r w:rsidRPr="00CB792A">
        <w:rPr>
          <w:rFonts w:ascii="Times New Roman" w:hAnsi="Times New Roman" w:cs="Times New Roman"/>
          <w:sz w:val="24"/>
          <w:szCs w:val="24"/>
        </w:rPr>
        <w:tab/>
        <w:t>дозировке</w:t>
      </w:r>
      <w:r w:rsidRPr="00CB792A">
        <w:rPr>
          <w:rFonts w:ascii="Times New Roman" w:hAnsi="Times New Roman" w:cs="Times New Roman"/>
          <w:sz w:val="24"/>
          <w:szCs w:val="24"/>
        </w:rPr>
        <w:tab/>
        <w:t>100</w:t>
      </w:r>
      <w:r w:rsidRPr="00CB79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>/мл</w:t>
      </w:r>
      <w:r w:rsidRPr="00CB792A">
        <w:rPr>
          <w:rFonts w:ascii="Times New Roman" w:hAnsi="Times New Roman" w:cs="Times New Roman"/>
          <w:sz w:val="24"/>
          <w:szCs w:val="24"/>
        </w:rPr>
        <w:tab/>
        <w:t>(владелец/держатель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lastRenderedPageBreak/>
        <w:t>регистрационного удостоверения Закрытое акционерное общество «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ПрофитМед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» (ЗАО «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ПрофитМед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»), Россия),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>-</w:t>
      </w:r>
      <w:r w:rsidRPr="00CB792A">
        <w:rPr>
          <w:rFonts w:ascii="Times New Roman" w:hAnsi="Times New Roman" w:cs="Times New Roman"/>
          <w:sz w:val="24"/>
          <w:szCs w:val="24"/>
        </w:rPr>
        <w:tab/>
        <w:t>«Инсулин</w:t>
      </w:r>
      <w:r w:rsidRPr="00CB79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»</w:t>
      </w:r>
      <w:r w:rsidRPr="00CB792A">
        <w:rPr>
          <w:rFonts w:ascii="Times New Roman" w:hAnsi="Times New Roman" w:cs="Times New Roman"/>
          <w:sz w:val="24"/>
          <w:szCs w:val="24"/>
        </w:rPr>
        <w:tab/>
        <w:t>в</w:t>
      </w:r>
      <w:r w:rsidRPr="00CB792A">
        <w:rPr>
          <w:rFonts w:ascii="Times New Roman" w:hAnsi="Times New Roman" w:cs="Times New Roman"/>
          <w:sz w:val="24"/>
          <w:szCs w:val="24"/>
        </w:rPr>
        <w:tab/>
        <w:t>дозировке</w:t>
      </w:r>
      <w:r w:rsidRPr="00CB792A">
        <w:rPr>
          <w:rFonts w:ascii="Times New Roman" w:hAnsi="Times New Roman" w:cs="Times New Roman"/>
          <w:sz w:val="24"/>
          <w:szCs w:val="24"/>
        </w:rPr>
        <w:tab/>
        <w:t>100</w:t>
      </w:r>
      <w:r w:rsidRPr="00CB79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>/мл</w:t>
      </w:r>
      <w:r w:rsidRPr="00CB792A">
        <w:rPr>
          <w:rFonts w:ascii="Times New Roman" w:hAnsi="Times New Roman" w:cs="Times New Roman"/>
          <w:sz w:val="24"/>
          <w:szCs w:val="24"/>
        </w:rPr>
        <w:tab/>
        <w:t>(владелец/держатель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>регистрационного удостоверения ООО «ЭНДОДЖЕНИКС», Россия).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 xml:space="preserve">Лекарственные препараты с МНН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», раствор для подкожного введения, 100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ЕДмл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и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», раствор для подкожного введения, 300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/мл содержат одно и то же действующее вещество (инсулин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), одинаковую лекарственную форму (раствор для подкожного введения), а также одинаковые показания к применению (сахарный диабет, требующий лечения инсулином), имеющие различия в отношении возрастной группы пациентов от 2 до 6 лет, для которой возможно применение только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в дозировке 100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>/мл.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 xml:space="preserve">Согласно официально утвержденной инструкции по медицинскому применению на лекарственный препарат с МЕН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300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/мл предусмотрен переход с введения лекарственного препарата с МНН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100 ЕД/мл на препарат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300 ЕД/мл и наоборот. В соответствии со сведениями этой же инструкции по медицинскому применению при использовании лекарственного препарата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300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>/мл во всех клинических исследованиях была подтверждена его эффективность в сравнении с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 xml:space="preserve">лекарственным препаратом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100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>/мл.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 xml:space="preserve">Кроме того, согласно указанной инструкции результаты, полученные во всех клинических исследованиях лекарственного препарата с МНН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300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/мл, проведенных с участием 546 пациентов с сахарным диабетом 1 типа и 2474 пациентов с сахарным диабетом 2 типа, показали, что процент пациентов, достигших целевого значения одного из основных показателей (показатель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гликированного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гемоглобина), был сопоставим в обеих группах лечения (в группе лечения препаратом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300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/мл и препаратом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100 ЕД/мл). Снижение концентрации глюкозы в плазме крови к концу исследования с лекарственным препаратом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300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/мл и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» 100 ЕД/мл одинаковое.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92A">
        <w:rPr>
          <w:rFonts w:ascii="Times New Roman" w:hAnsi="Times New Roman" w:cs="Times New Roman"/>
          <w:sz w:val="24"/>
          <w:szCs w:val="24"/>
        </w:rPr>
        <w:t xml:space="preserve">По мнению ФАС России, с учетом требований, установленных пунктом 2 Особенностей описания лекарственных препаратов, при описании объекта закупки в документации о закупке лекарственных препаратов с МНН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в лекарственной форме «раствор для подкожного введения» в дозировке 300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ЕДмл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заказчики также должны указывать возможность поставки лекарственных препаратов в дозировке 100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ЕДмл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, применение которой позволяет достичь одинакового терапевтического эффекта, в требуемом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 заказчику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>.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92A">
        <w:rPr>
          <w:rFonts w:ascii="Times New Roman" w:hAnsi="Times New Roman" w:cs="Times New Roman"/>
          <w:sz w:val="24"/>
          <w:szCs w:val="24"/>
        </w:rPr>
        <w:t xml:space="preserve">Государственные заказчики, формируя техническое задание на закупку лекарственных препаратов с МНН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», и указывая в описании объекта закупки исключительно дозировку 300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ЕДмл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, нарушают подпункт «б» пункта 2 Особенностей, в соответствии с которым государственным заказчикам надлежит указывать дозировку с возможностью поставки лекарственного препарата в кратной дозировке и двойном количестве, а также с возможностью поставки лекарственного препарата в некратных эквивалентных дозировках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позволяющих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 достичь одинакового терапевтического эффекта.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 xml:space="preserve">Дополнительно ФАС России отмечает, что в соответствии с подпунктом «в» пункта 4 Особенностей в отношении лекарственных препаратов, предназначенных исключительно для использования в педиатрической практике, допускается указание на возраст ребенка (от 0, с 3 месяцев, с 12 месяцев и т.д.). Согласно инструкции по медицинскому применению лекарственный препарат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300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ЕДмл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имеет противопоказание детский возраст до 6 лет, лекарственный препарат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100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ЕДмл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- детский возраст до 2 лет.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при необходимости закупки лекарственных препаратов с МНН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в лекарственной форме «раствор для подкожного введения» исключительно для пациентов от 2 до 6 лет, заказчики вправе указывать дозировку 100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ЕДмл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 без указания возможности поставки 300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ЕДмл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>.</w:t>
      </w:r>
    </w:p>
    <w:p w:rsidR="00CB792A" w:rsidRPr="00CB792A" w:rsidRDefault="00CB792A" w:rsidP="00CB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B792A">
        <w:rPr>
          <w:rFonts w:ascii="Times New Roman" w:hAnsi="Times New Roman" w:cs="Times New Roman"/>
          <w:sz w:val="24"/>
          <w:szCs w:val="24"/>
        </w:rPr>
        <w:t xml:space="preserve">На основании изложенного, в рамках полномочий антимонопольного органа, установленных пунктом 5 части 2 статьи 23 Закона о защите конкуренции и пунктом 2 Постановления, ФАС России разъясняет недопустимость закупки конкретной дозировки лекарственных препаратов с МЕН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(например, 300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ЕДмл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) без возможности поставки дозировки, позволяющей достичь эквивалентного терапевтического эффекта (например, 100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 xml:space="preserve">/мл). Вместе с тем для определенных категорий пациентов (дети с 2 до 6 лет) возможна закупка лекарственных препаратов с МНН «Инсулин </w:t>
      </w:r>
      <w:proofErr w:type="spellStart"/>
      <w:r w:rsidRPr="00CB792A">
        <w:rPr>
          <w:rFonts w:ascii="Times New Roman" w:hAnsi="Times New Roman" w:cs="Times New Roman"/>
          <w:sz w:val="24"/>
          <w:szCs w:val="24"/>
        </w:rPr>
        <w:t>гларгин</w:t>
      </w:r>
      <w:proofErr w:type="spellEnd"/>
      <w:r w:rsidRPr="00CB792A">
        <w:rPr>
          <w:rFonts w:ascii="Times New Roman" w:hAnsi="Times New Roman" w:cs="Times New Roman"/>
          <w:sz w:val="24"/>
          <w:szCs w:val="24"/>
        </w:rPr>
        <w:t xml:space="preserve">» 100 </w:t>
      </w:r>
      <w:proofErr w:type="gramStart"/>
      <w:r w:rsidRPr="00CB792A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CB792A">
        <w:rPr>
          <w:rFonts w:ascii="Times New Roman" w:hAnsi="Times New Roman" w:cs="Times New Roman"/>
          <w:sz w:val="24"/>
          <w:szCs w:val="24"/>
        </w:rPr>
        <w:t>/мл без возможности поставки дозировки 300 ЕД/мл.</w:t>
      </w:r>
    </w:p>
    <w:sectPr w:rsidR="00CB792A" w:rsidRPr="00CB792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B792A"/>
    <w:rsid w:val="003636AE"/>
    <w:rsid w:val="00490505"/>
    <w:rsid w:val="005F4005"/>
    <w:rsid w:val="00740A4D"/>
    <w:rsid w:val="009E1445"/>
    <w:rsid w:val="00B01B94"/>
    <w:rsid w:val="00CB792A"/>
    <w:rsid w:val="00D704BC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1191</Words>
  <Characters>6789</Characters>
  <Application>Microsoft Office Word</Application>
  <DocSecurity>0</DocSecurity>
  <Lines>56</Lines>
  <Paragraphs>15</Paragraphs>
  <ScaleCrop>false</ScaleCrop>
  <Company>Krokoz™</Company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2020-11-25T06:18:00Z</dcterms:created>
  <dcterms:modified xsi:type="dcterms:W3CDTF">2020-11-25T06:27:00Z</dcterms:modified>
</cp:coreProperties>
</file>