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90A" w:rsidRPr="006B5328" w:rsidRDefault="00DE290A" w:rsidP="00DE290A">
      <w:pPr>
        <w:shd w:val="clear" w:color="auto" w:fill="FFFFFF"/>
        <w:spacing w:line="450" w:lineRule="atLeast"/>
        <w:jc w:val="center"/>
        <w:rPr>
          <w:rFonts w:ascii="Arial" w:eastAsia="Times New Roman" w:hAnsi="Arial" w:cs="Arial"/>
          <w:b/>
          <w:bCs/>
          <w:sz w:val="30"/>
          <w:szCs w:val="30"/>
          <w:lang w:eastAsia="ru-RU"/>
        </w:rPr>
      </w:pPr>
      <w:bookmarkStart w:id="0" w:name="_GoBack"/>
      <w:r w:rsidRPr="006B5328">
        <w:rPr>
          <w:rFonts w:ascii="Arial" w:eastAsia="Times New Roman" w:hAnsi="Arial" w:cs="Arial"/>
          <w:b/>
          <w:bCs/>
          <w:sz w:val="30"/>
          <w:szCs w:val="30"/>
          <w:lang w:eastAsia="ru-RU"/>
        </w:rPr>
        <w:t>МИНИСТЕРСТВО ФИНАНСОВ РОССИЙСКОЙ ФЕДЕРАЦИИ</w:t>
      </w:r>
    </w:p>
    <w:p w:rsidR="00DE290A" w:rsidRPr="00DE290A" w:rsidRDefault="00DE290A" w:rsidP="00DE290A">
      <w:pPr>
        <w:shd w:val="clear" w:color="auto" w:fill="FFFFFF"/>
        <w:spacing w:after="0" w:line="450" w:lineRule="atLeast"/>
        <w:jc w:val="center"/>
        <w:rPr>
          <w:rFonts w:ascii="Arial" w:eastAsia="Times New Roman" w:hAnsi="Arial" w:cs="Arial"/>
          <w:b/>
          <w:bCs/>
          <w:sz w:val="30"/>
          <w:szCs w:val="30"/>
          <w:lang w:eastAsia="ru-RU"/>
        </w:rPr>
      </w:pPr>
      <w:r w:rsidRPr="006B5328">
        <w:rPr>
          <w:rFonts w:ascii="Arial" w:eastAsia="Times New Roman" w:hAnsi="Arial" w:cs="Arial"/>
          <w:b/>
          <w:bCs/>
          <w:sz w:val="30"/>
          <w:szCs w:val="30"/>
          <w:lang w:eastAsia="ru-RU"/>
        </w:rPr>
        <w:t> </w:t>
      </w:r>
    </w:p>
    <w:p w:rsidR="00DE290A" w:rsidRPr="00DE290A" w:rsidRDefault="00DE290A" w:rsidP="00DE290A">
      <w:pPr>
        <w:shd w:val="clear" w:color="auto" w:fill="FFFFFF"/>
        <w:spacing w:after="0" w:line="450" w:lineRule="atLeast"/>
        <w:jc w:val="center"/>
        <w:rPr>
          <w:rFonts w:ascii="Arial" w:eastAsia="Times New Roman" w:hAnsi="Arial" w:cs="Arial"/>
          <w:b/>
          <w:bCs/>
          <w:sz w:val="30"/>
          <w:szCs w:val="30"/>
          <w:lang w:eastAsia="ru-RU"/>
        </w:rPr>
      </w:pPr>
      <w:r w:rsidRPr="006B5328">
        <w:rPr>
          <w:rFonts w:ascii="Arial" w:eastAsia="Times New Roman" w:hAnsi="Arial" w:cs="Arial"/>
          <w:b/>
          <w:bCs/>
          <w:sz w:val="30"/>
          <w:szCs w:val="30"/>
          <w:lang w:eastAsia="ru-RU"/>
        </w:rPr>
        <w:t>ПИСЬМО</w:t>
      </w:r>
    </w:p>
    <w:p w:rsidR="00DE290A" w:rsidRPr="00DE290A" w:rsidRDefault="00DE290A" w:rsidP="00DE290A">
      <w:pPr>
        <w:shd w:val="clear" w:color="auto" w:fill="FFFFFF"/>
        <w:spacing w:after="0" w:line="450" w:lineRule="atLeast"/>
        <w:jc w:val="center"/>
        <w:rPr>
          <w:rFonts w:ascii="Arial" w:eastAsia="Times New Roman" w:hAnsi="Arial" w:cs="Arial"/>
          <w:b/>
          <w:bCs/>
          <w:sz w:val="30"/>
          <w:szCs w:val="30"/>
          <w:lang w:eastAsia="ru-RU"/>
        </w:rPr>
      </w:pPr>
      <w:r w:rsidRPr="006B5328">
        <w:rPr>
          <w:rFonts w:ascii="Arial" w:eastAsia="Times New Roman" w:hAnsi="Arial" w:cs="Arial"/>
          <w:b/>
          <w:bCs/>
          <w:sz w:val="30"/>
          <w:szCs w:val="30"/>
          <w:lang w:eastAsia="ru-RU"/>
        </w:rPr>
        <w:t>от 5 ноября 2020 г. № 24-03-08/96309</w:t>
      </w:r>
    </w:p>
    <w:p w:rsidR="00DE290A" w:rsidRPr="00DE290A" w:rsidRDefault="00DE290A" w:rsidP="00DE290A">
      <w:pPr>
        <w:shd w:val="clear" w:color="auto" w:fill="FFFFFF"/>
        <w:spacing w:after="0" w:line="288" w:lineRule="atLeast"/>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Департамент бюджетной политики в сфере контрактной системы Минфина России (далее - Департамент) рассмотрел обращение по вопросу разъяснения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исполнения контракта в период пандемии, порядка предоставления поставщиком обеспечения исполнения контракта, а также ответственности поставщика за неисполнение обязательств, предусмотренных контрактом, и в рамках компетенции сообщает следующее.</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xml:space="preserve">Вместе с тем Департамент полагает необходимым отметить, что частью 1 статьи 34 Закона № 44-ФЗ установлено, что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w:t>
      </w:r>
      <w:r w:rsidRPr="006B5328">
        <w:rPr>
          <w:rFonts w:ascii="Times New Roman" w:eastAsia="Times New Roman" w:hAnsi="Times New Roman" w:cs="Times New Roman"/>
          <w:sz w:val="30"/>
          <w:szCs w:val="30"/>
          <w:lang w:eastAsia="ru-RU"/>
        </w:rPr>
        <w:lastRenderedPageBreak/>
        <w:t>(подрядчика, исполнителя), документация о закупке, заявка, окончательное предложение не предусмотрены.</w:t>
      </w:r>
    </w:p>
    <w:p w:rsidR="00DE290A" w:rsidRPr="00DE290A" w:rsidRDefault="00DE290A" w:rsidP="00DE290A">
      <w:pPr>
        <w:shd w:val="clear" w:color="auto" w:fill="F4F3F8"/>
        <w:spacing w:after="0" w:line="240" w:lineRule="auto"/>
        <w:rPr>
          <w:rFonts w:ascii="Times New Roman" w:eastAsia="Times New Roman" w:hAnsi="Times New Roman" w:cs="Times New Roman"/>
          <w:sz w:val="28"/>
          <w:szCs w:val="28"/>
          <w:lang w:eastAsia="ru-RU"/>
        </w:rPr>
      </w:pPr>
      <w:r w:rsidRPr="006B5328">
        <w:rPr>
          <w:rFonts w:ascii="Times New Roman" w:eastAsia="Times New Roman" w:hAnsi="Times New Roman" w:cs="Times New Roman"/>
          <w:sz w:val="28"/>
          <w:szCs w:val="28"/>
          <w:lang w:eastAsia="ru-RU"/>
        </w:rPr>
        <w:t>Примечание.</w:t>
      </w:r>
    </w:p>
    <w:p w:rsidR="00DE290A" w:rsidRPr="00DE290A" w:rsidRDefault="00DE290A" w:rsidP="00DE290A">
      <w:pPr>
        <w:shd w:val="clear" w:color="auto" w:fill="F4F3F8"/>
        <w:spacing w:after="0" w:line="240" w:lineRule="auto"/>
        <w:rPr>
          <w:rFonts w:ascii="Times New Roman" w:eastAsia="Times New Roman" w:hAnsi="Times New Roman" w:cs="Times New Roman"/>
          <w:sz w:val="28"/>
          <w:szCs w:val="28"/>
          <w:lang w:eastAsia="ru-RU"/>
        </w:rPr>
      </w:pPr>
      <w:r w:rsidRPr="006B5328">
        <w:rPr>
          <w:rFonts w:ascii="Times New Roman" w:eastAsia="Times New Roman" w:hAnsi="Times New Roman" w:cs="Times New Roman"/>
          <w:sz w:val="28"/>
          <w:szCs w:val="28"/>
          <w:lang w:eastAsia="ru-RU"/>
        </w:rPr>
        <w:t>На момент издания данного документа </w:t>
      </w:r>
      <w:hyperlink r:id="rId4" w:history="1">
        <w:r w:rsidRPr="006B5328">
          <w:rPr>
            <w:rFonts w:ascii="Times New Roman" w:eastAsia="Times New Roman" w:hAnsi="Times New Roman" w:cs="Times New Roman"/>
            <w:sz w:val="28"/>
            <w:szCs w:val="28"/>
            <w:lang w:eastAsia="ru-RU"/>
          </w:rPr>
          <w:t>часть 13 статьи 34</w:t>
        </w:r>
      </w:hyperlink>
      <w:r w:rsidRPr="006B5328">
        <w:rPr>
          <w:rFonts w:ascii="Times New Roman" w:eastAsia="Times New Roman" w:hAnsi="Times New Roman" w:cs="Times New Roman"/>
          <w:sz w:val="28"/>
          <w:szCs w:val="28"/>
          <w:lang w:eastAsia="ru-RU"/>
        </w:rPr>
        <w:t> Федерального закона от 05.04.2013 № 44-ФЗ изложена в новой редакции.</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Согласно части 13 статьи 34 Закона № 44-ФЗ в контракт включаются обязательные условия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Частью 4 статьи 96 Закона № 44-ФЗ установлено, что 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 44-ФЗ.</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В соответствии с частью 3 статьи 96 Закона № 44-ФЗ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 положениями Закона № 44-ФЗ.</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Таким образом,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соответствии с требованиями Закона № 44-ФЗ.</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xml:space="preserve">Кроме того, согласно части 27 статьи 34 Закона № 44-ФЗ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w:t>
      </w:r>
      <w:r w:rsidRPr="006B5328">
        <w:rPr>
          <w:rFonts w:ascii="Times New Roman" w:eastAsia="Times New Roman" w:hAnsi="Times New Roman" w:cs="Times New Roman"/>
          <w:sz w:val="30"/>
          <w:szCs w:val="30"/>
          <w:lang w:eastAsia="ru-RU"/>
        </w:rPr>
        <w:lastRenderedPageBreak/>
        <w:t>контракта в соответствии с частями 7, 7.1 и 7.2 статьи 96 Закона № 44-ФЗ.</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Закона № 44-ФЗ,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Частью 7.1 статьи 96 Закона № 44-ФЗ установлено, что,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указанной статьи.</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Так, согласно части 7.2 статьи 96 Закона № 44-ФЗ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 44-ФЗ.</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lastRenderedPageBreak/>
        <w:t>Таким образом, предусмотренное частью 7.2 статьи 96 Закона № 44-ФЗ пропорциональное снижение размера обеспечения исполнения контракта осуществляется после приемки заказчиком в порядке, установленном контрактом, исполненных поставщиком (подрядчиком, исполнителем) обязательств, предусмотренных контрактом.</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На основании изложенного заказчик самостоятельно, с учетом действующего законодательства, устанавливает условия исполнения контракта, в том числе порядок и срок возврата заказчиком поставщику (подрядчику, исполнителю) обеспечения исполнения контракта.</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Кроме того, согласно части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При этом заказчик самостоятельно устанавливает срок действия контракта (при необходимости) исходя из особенностей осуществления закупки.</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В соответствии с частью 3 статьи 425 Гражданского кодекса Российской Федерации законом или договором может быть предусмотрено, что окончание срока действия договора влечет прекращение обязательств сторон по договору.</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Таким образом, контракт будет считаться исполненным после выполнения своих обязательств сторонами. При этом если обязательства по контракту не исполнены в полном объеме, формальное окончание срока действия контракта не влечет прекращение обязательств.</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В соответствии с частью 6 статьи 34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xml:space="preserve">Департамент сообщает, что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определяется в порядке, установленном постановлением Правительства Российской Федерации </w:t>
      </w:r>
      <w:r w:rsidRPr="006B5328">
        <w:rPr>
          <w:rFonts w:ascii="Times New Roman" w:eastAsia="Times New Roman" w:hAnsi="Times New Roman" w:cs="Times New Roman"/>
          <w:sz w:val="30"/>
          <w:szCs w:val="30"/>
          <w:lang w:eastAsia="ru-RU"/>
        </w:rPr>
        <w:lastRenderedPageBreak/>
        <w:t>от 30 августа 2017 г. № 1042, и устанавливается в условиях исполнения контракта.</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Таким образом, исходя из системного толкования положений Закона № 44-ФЗ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 предусмотренного государственным контрактом.</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xml:space="preserve">Дополнительно Департамент сообщает, что в целях обеспечения устойчивого развития экономики в условиях ухудшения ситуации в связи с распространением новой </w:t>
      </w:r>
      <w:proofErr w:type="spellStart"/>
      <w:r w:rsidRPr="006B5328">
        <w:rPr>
          <w:rFonts w:ascii="Times New Roman" w:eastAsia="Times New Roman" w:hAnsi="Times New Roman" w:cs="Times New Roman"/>
          <w:sz w:val="30"/>
          <w:szCs w:val="30"/>
          <w:lang w:eastAsia="ru-RU"/>
        </w:rPr>
        <w:t>коронавирусной</w:t>
      </w:r>
      <w:proofErr w:type="spellEnd"/>
      <w:r w:rsidRPr="006B5328">
        <w:rPr>
          <w:rFonts w:ascii="Times New Roman" w:eastAsia="Times New Roman" w:hAnsi="Times New Roman" w:cs="Times New Roman"/>
          <w:sz w:val="30"/>
          <w:szCs w:val="30"/>
          <w:lang w:eastAsia="ru-RU"/>
        </w:rPr>
        <w:t xml:space="preserve"> инфекции принят Федеральный закон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 98-ФЗ), которым в том числе были внесены изменения в Закон № 44-ФЗ,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w:t>
      </w:r>
      <w:proofErr w:type="spellStart"/>
      <w:r w:rsidRPr="006B5328">
        <w:rPr>
          <w:rFonts w:ascii="Times New Roman" w:eastAsia="Times New Roman" w:hAnsi="Times New Roman" w:cs="Times New Roman"/>
          <w:sz w:val="30"/>
          <w:szCs w:val="30"/>
          <w:lang w:eastAsia="ru-RU"/>
        </w:rPr>
        <w:t>коронавирусной</w:t>
      </w:r>
      <w:proofErr w:type="spellEnd"/>
      <w:r w:rsidRPr="006B5328">
        <w:rPr>
          <w:rFonts w:ascii="Times New Roman" w:eastAsia="Times New Roman" w:hAnsi="Times New Roman" w:cs="Times New Roman"/>
          <w:sz w:val="30"/>
          <w:szCs w:val="30"/>
          <w:lang w:eastAsia="ru-RU"/>
        </w:rPr>
        <w:t xml:space="preserve"> инфекции обязательств, предусмотренных заключенным контрактом (часть 42.1 статьи 112 Закона № 44-ФЗ). Положения части 42.1 статьи 112 Закона № 44-ФЗ (в редакции Закона № 98-ФЗ) распространяются в том числе на контракты, заключенные до 1 апреля 2020 г.</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В реализацию указанных изменений </w:t>
      </w:r>
      <w:hyperlink r:id="rId5" w:history="1">
        <w:r w:rsidRPr="006B5328">
          <w:rPr>
            <w:rFonts w:ascii="Times New Roman" w:eastAsia="Times New Roman" w:hAnsi="Times New Roman" w:cs="Times New Roman"/>
            <w:sz w:val="30"/>
            <w:szCs w:val="30"/>
            <w:lang w:eastAsia="ru-RU"/>
          </w:rPr>
          <w:t>Закона</w:t>
        </w:r>
      </w:hyperlink>
      <w:r w:rsidRPr="006B5328">
        <w:rPr>
          <w:rFonts w:ascii="Times New Roman" w:eastAsia="Times New Roman" w:hAnsi="Times New Roman" w:cs="Times New Roman"/>
          <w:sz w:val="30"/>
          <w:szCs w:val="30"/>
          <w:lang w:eastAsia="ru-RU"/>
        </w:rPr>
        <w:t> № 44-ФЗ постановлением Правительства Российской Федерации от 26 апреля 2020 г. № 591 были внесены изменения в постановление Правительства Российской Федерации от 4 июля 2018 г. № 783 (далее - Постановление № 783).</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xml:space="preserve">Так, в соответствии с пунктом 2 Правил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утвержденных Постановлением № 783 (далее - Правила), списание начисленных и неуплаченных сумм неустоек (штрафов, пеней) осуществляется по контрактам, обязательства по которым исполнены в полном объеме, за исключением контрактов, в том числе по которым в 2020 году обязательства не были исполнены в полном объеме в связи с возникновением независящих от поставщика (подрядчика, исполнителя) обстоятельств, повлекших невозможность исполнения контракта в связи с распространением новой </w:t>
      </w:r>
      <w:proofErr w:type="spellStart"/>
      <w:r w:rsidRPr="006B5328">
        <w:rPr>
          <w:rFonts w:ascii="Times New Roman" w:eastAsia="Times New Roman" w:hAnsi="Times New Roman" w:cs="Times New Roman"/>
          <w:sz w:val="30"/>
          <w:szCs w:val="30"/>
          <w:lang w:eastAsia="ru-RU"/>
        </w:rPr>
        <w:t>коронавирусной</w:t>
      </w:r>
      <w:proofErr w:type="spellEnd"/>
      <w:r w:rsidRPr="006B5328">
        <w:rPr>
          <w:rFonts w:ascii="Times New Roman" w:eastAsia="Times New Roman" w:hAnsi="Times New Roman" w:cs="Times New Roman"/>
          <w:sz w:val="30"/>
          <w:szCs w:val="30"/>
          <w:lang w:eastAsia="ru-RU"/>
        </w:rPr>
        <w:t xml:space="preserve"> инфекции.</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xml:space="preserve">Согласно подпункту "в" пункта 3 Правил списание начисленных и неуплаченных сумм неустоек (штрафов, пеней) осуществляется </w:t>
      </w:r>
      <w:r w:rsidRPr="006B5328">
        <w:rPr>
          <w:rFonts w:ascii="Times New Roman" w:eastAsia="Times New Roman" w:hAnsi="Times New Roman" w:cs="Times New Roman"/>
          <w:sz w:val="30"/>
          <w:szCs w:val="30"/>
          <w:lang w:eastAsia="ru-RU"/>
        </w:rPr>
        <w:lastRenderedPageBreak/>
        <w:t xml:space="preserve">заказчиком в случае, если неуплаченные неустойки (штрафы, пени) начислены вследствие неисполнения поставщиком (подрядчиком, исполнителем) обязательств по контракту в связи с возникновением независящих от него обстоятельств, повлекших невозможность исполнения контракта в связи с распространением новой </w:t>
      </w:r>
      <w:proofErr w:type="spellStart"/>
      <w:r w:rsidRPr="006B5328">
        <w:rPr>
          <w:rFonts w:ascii="Times New Roman" w:eastAsia="Times New Roman" w:hAnsi="Times New Roman" w:cs="Times New Roman"/>
          <w:sz w:val="30"/>
          <w:szCs w:val="30"/>
          <w:lang w:eastAsia="ru-RU"/>
        </w:rPr>
        <w:t>коронавирусной</w:t>
      </w:r>
      <w:proofErr w:type="spellEnd"/>
      <w:r w:rsidRPr="006B5328">
        <w:rPr>
          <w:rFonts w:ascii="Times New Roman" w:eastAsia="Times New Roman" w:hAnsi="Times New Roman" w:cs="Times New Roman"/>
          <w:sz w:val="30"/>
          <w:szCs w:val="30"/>
          <w:lang w:eastAsia="ru-RU"/>
        </w:rPr>
        <w:t xml:space="preserve"> инфекции.</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xml:space="preserve">Пунктом 5 Правил установлено, что в случае, предусмотренном подпунктом "в" пункта 3 Правил, основанием для принятия решения о списании начисленной и неуплаченной суммы неустоек (штрафов, пеней) является исполнение (при наличии) поставщиком (подрядчиком, исполнителем) обязательств по контракту в 2020 году, подтвержденное актом приемки или иным документом, и обоснование обстоятельств, повлекших невозможность исполнения контракта в связи с распространением новой </w:t>
      </w:r>
      <w:proofErr w:type="spellStart"/>
      <w:r w:rsidRPr="006B5328">
        <w:rPr>
          <w:rFonts w:ascii="Times New Roman" w:eastAsia="Times New Roman" w:hAnsi="Times New Roman" w:cs="Times New Roman"/>
          <w:sz w:val="30"/>
          <w:szCs w:val="30"/>
          <w:lang w:eastAsia="ru-RU"/>
        </w:rPr>
        <w:t>коронавирусной</w:t>
      </w:r>
      <w:proofErr w:type="spellEnd"/>
      <w:r w:rsidRPr="006B5328">
        <w:rPr>
          <w:rFonts w:ascii="Times New Roman" w:eastAsia="Times New Roman" w:hAnsi="Times New Roman" w:cs="Times New Roman"/>
          <w:sz w:val="30"/>
          <w:szCs w:val="30"/>
          <w:lang w:eastAsia="ru-RU"/>
        </w:rPr>
        <w:t xml:space="preserve"> инфекции, представленное поставщиком (подрядчиком, исполнителем) заказчику в письменной форме с приложением подтверждающих документов (при их наличии).</w:t>
      </w:r>
    </w:p>
    <w:p w:rsidR="00DE290A" w:rsidRPr="00DE290A" w:rsidRDefault="00DE290A" w:rsidP="00DE290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xml:space="preserve">Таким образом, списание начисленных поставщику (подрядчику, исполнителю) и неуплаченных сумм неустоек (штрафов, пеней) в результате неисполнения или ненадлежащего исполнения в 2020 году обязательств, предусмотренных контрактом, в связи с распространением новой </w:t>
      </w:r>
      <w:proofErr w:type="spellStart"/>
      <w:r w:rsidRPr="006B5328">
        <w:rPr>
          <w:rFonts w:ascii="Times New Roman" w:eastAsia="Times New Roman" w:hAnsi="Times New Roman" w:cs="Times New Roman"/>
          <w:sz w:val="30"/>
          <w:szCs w:val="30"/>
          <w:lang w:eastAsia="ru-RU"/>
        </w:rPr>
        <w:t>коронавирусной</w:t>
      </w:r>
      <w:proofErr w:type="spellEnd"/>
      <w:r w:rsidRPr="006B5328">
        <w:rPr>
          <w:rFonts w:ascii="Times New Roman" w:eastAsia="Times New Roman" w:hAnsi="Times New Roman" w:cs="Times New Roman"/>
          <w:sz w:val="30"/>
          <w:szCs w:val="30"/>
          <w:lang w:eastAsia="ru-RU"/>
        </w:rPr>
        <w:t xml:space="preserve"> инфекции происходит в соответствии с Правилами.</w:t>
      </w:r>
    </w:p>
    <w:p w:rsidR="00DE290A" w:rsidRPr="00DE290A" w:rsidRDefault="00DE290A" w:rsidP="00DE290A">
      <w:pPr>
        <w:shd w:val="clear" w:color="auto" w:fill="FFFFFF"/>
        <w:spacing w:after="0" w:line="288" w:lineRule="atLeast"/>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w:t>
      </w:r>
    </w:p>
    <w:p w:rsidR="00DE290A" w:rsidRPr="00DE290A" w:rsidRDefault="00DE290A" w:rsidP="00DE290A">
      <w:pPr>
        <w:shd w:val="clear" w:color="auto" w:fill="FFFFFF"/>
        <w:spacing w:after="0" w:line="288" w:lineRule="atLeast"/>
        <w:jc w:val="right"/>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Заместитель директора Департамента</w:t>
      </w:r>
    </w:p>
    <w:p w:rsidR="00DE290A" w:rsidRPr="00DE290A" w:rsidRDefault="00DE290A" w:rsidP="00DE290A">
      <w:pPr>
        <w:shd w:val="clear" w:color="auto" w:fill="FFFFFF"/>
        <w:spacing w:after="0" w:line="288" w:lineRule="atLeast"/>
        <w:jc w:val="right"/>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Д.А.ГОТОВЦЕВ</w:t>
      </w:r>
    </w:p>
    <w:p w:rsidR="00DE290A" w:rsidRPr="00DE290A" w:rsidRDefault="00DE290A" w:rsidP="00DE290A">
      <w:pPr>
        <w:shd w:val="clear" w:color="auto" w:fill="FFFFFF"/>
        <w:spacing w:after="0" w:line="288" w:lineRule="atLeast"/>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05.11.2020</w:t>
      </w:r>
    </w:p>
    <w:p w:rsidR="00DE290A" w:rsidRPr="00DE290A" w:rsidRDefault="00DE290A" w:rsidP="00DE290A">
      <w:pPr>
        <w:shd w:val="clear" w:color="auto" w:fill="FFFFFF"/>
        <w:spacing w:after="0" w:line="288" w:lineRule="atLeast"/>
        <w:rPr>
          <w:rFonts w:ascii="Times New Roman" w:eastAsia="Times New Roman" w:hAnsi="Times New Roman" w:cs="Times New Roman"/>
          <w:sz w:val="30"/>
          <w:szCs w:val="30"/>
          <w:lang w:eastAsia="ru-RU"/>
        </w:rPr>
      </w:pPr>
      <w:r w:rsidRPr="006B5328">
        <w:rPr>
          <w:rFonts w:ascii="Times New Roman" w:eastAsia="Times New Roman" w:hAnsi="Times New Roman" w:cs="Times New Roman"/>
          <w:sz w:val="30"/>
          <w:szCs w:val="30"/>
          <w:lang w:eastAsia="ru-RU"/>
        </w:rPr>
        <w:t> </w:t>
      </w:r>
    </w:p>
    <w:p w:rsidR="00034B87" w:rsidRPr="006B5328" w:rsidRDefault="00DE290A" w:rsidP="00DE290A">
      <w:pPr>
        <w:shd w:val="clear" w:color="auto" w:fill="FFFFFF"/>
        <w:spacing w:after="0" w:line="288" w:lineRule="atLeast"/>
      </w:pPr>
      <w:r w:rsidRPr="006B5328">
        <w:rPr>
          <w:rFonts w:ascii="Times New Roman" w:eastAsia="Times New Roman" w:hAnsi="Times New Roman" w:cs="Times New Roman"/>
          <w:sz w:val="30"/>
          <w:szCs w:val="30"/>
          <w:lang w:eastAsia="ru-RU"/>
        </w:rPr>
        <w:t> </w:t>
      </w:r>
      <w:bookmarkEnd w:id="0"/>
    </w:p>
    <w:sectPr w:rsidR="00034B87" w:rsidRPr="006B5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0A"/>
    <w:rsid w:val="005C245C"/>
    <w:rsid w:val="006B5328"/>
    <w:rsid w:val="00AD6C02"/>
    <w:rsid w:val="00DE2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4A28E-A474-4EF8-9DBE-7A809679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DE290A"/>
  </w:style>
  <w:style w:type="character" w:styleId="a3">
    <w:name w:val="Hyperlink"/>
    <w:basedOn w:val="a0"/>
    <w:uiPriority w:val="99"/>
    <w:semiHidden/>
    <w:unhideWhenUsed/>
    <w:rsid w:val="00DE290A"/>
    <w:rPr>
      <w:color w:val="0000FF"/>
      <w:u w:val="single"/>
    </w:rPr>
  </w:style>
  <w:style w:type="character" w:customStyle="1" w:styleId="nobr">
    <w:name w:val="nobr"/>
    <w:basedOn w:val="a0"/>
    <w:rsid w:val="00DE290A"/>
  </w:style>
  <w:style w:type="character" w:customStyle="1" w:styleId="copyright">
    <w:name w:val="copyright"/>
    <w:basedOn w:val="a0"/>
    <w:rsid w:val="00DE2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547215">
      <w:bodyDiv w:val="1"/>
      <w:marLeft w:val="0"/>
      <w:marRight w:val="0"/>
      <w:marTop w:val="0"/>
      <w:marBottom w:val="0"/>
      <w:divBdr>
        <w:top w:val="none" w:sz="0" w:space="0" w:color="auto"/>
        <w:left w:val="none" w:sz="0" w:space="0" w:color="auto"/>
        <w:bottom w:val="none" w:sz="0" w:space="0" w:color="auto"/>
        <w:right w:val="none" w:sz="0" w:space="0" w:color="auto"/>
      </w:divBdr>
      <w:divsChild>
        <w:div w:id="1753893922">
          <w:marLeft w:val="0"/>
          <w:marRight w:val="0"/>
          <w:marTop w:val="0"/>
          <w:marBottom w:val="0"/>
          <w:divBdr>
            <w:top w:val="none" w:sz="0" w:space="0" w:color="auto"/>
            <w:left w:val="single" w:sz="6" w:space="0" w:color="DCDCDC"/>
            <w:bottom w:val="none" w:sz="0" w:space="0" w:color="auto"/>
            <w:right w:val="single" w:sz="6" w:space="0" w:color="DCDCDC"/>
          </w:divBdr>
          <w:divsChild>
            <w:div w:id="1987514763">
              <w:marLeft w:val="0"/>
              <w:marRight w:val="0"/>
              <w:marTop w:val="0"/>
              <w:marBottom w:val="0"/>
              <w:divBdr>
                <w:top w:val="none" w:sz="0" w:space="0" w:color="auto"/>
                <w:left w:val="none" w:sz="0" w:space="0" w:color="auto"/>
                <w:bottom w:val="none" w:sz="0" w:space="0" w:color="auto"/>
                <w:right w:val="none" w:sz="0" w:space="0" w:color="auto"/>
              </w:divBdr>
              <w:divsChild>
                <w:div w:id="184171313">
                  <w:marLeft w:val="0"/>
                  <w:marRight w:val="0"/>
                  <w:marTop w:val="0"/>
                  <w:marBottom w:val="0"/>
                  <w:divBdr>
                    <w:top w:val="none" w:sz="0" w:space="0" w:color="auto"/>
                    <w:left w:val="none" w:sz="0" w:space="0" w:color="auto"/>
                    <w:bottom w:val="none" w:sz="0" w:space="0" w:color="auto"/>
                    <w:right w:val="none" w:sz="0" w:space="0" w:color="auto"/>
                  </w:divBdr>
                </w:div>
                <w:div w:id="1455636944">
                  <w:marLeft w:val="0"/>
                  <w:marRight w:val="0"/>
                  <w:marTop w:val="0"/>
                  <w:marBottom w:val="0"/>
                  <w:divBdr>
                    <w:top w:val="none" w:sz="0" w:space="0" w:color="auto"/>
                    <w:left w:val="single" w:sz="24" w:space="0" w:color="CED3F1"/>
                    <w:bottom w:val="none" w:sz="0" w:space="0" w:color="auto"/>
                    <w:right w:val="none" w:sz="0" w:space="0" w:color="auto"/>
                  </w:divBdr>
                  <w:divsChild>
                    <w:div w:id="1329210114">
                      <w:marLeft w:val="0"/>
                      <w:marRight w:val="0"/>
                      <w:marTop w:val="0"/>
                      <w:marBottom w:val="0"/>
                      <w:divBdr>
                        <w:top w:val="none" w:sz="0" w:space="0" w:color="auto"/>
                        <w:left w:val="none" w:sz="0" w:space="0" w:color="auto"/>
                        <w:bottom w:val="none" w:sz="0" w:space="0" w:color="auto"/>
                        <w:right w:val="none" w:sz="0" w:space="0" w:color="auto"/>
                      </w:divBdr>
                    </w:div>
                    <w:div w:id="625114506">
                      <w:marLeft w:val="0"/>
                      <w:marRight w:val="0"/>
                      <w:marTop w:val="0"/>
                      <w:marBottom w:val="0"/>
                      <w:divBdr>
                        <w:top w:val="none" w:sz="0" w:space="0" w:color="auto"/>
                        <w:left w:val="none" w:sz="0" w:space="0" w:color="auto"/>
                        <w:bottom w:val="none" w:sz="0" w:space="0" w:color="auto"/>
                        <w:right w:val="none" w:sz="0" w:space="0" w:color="auto"/>
                      </w:divBdr>
                    </w:div>
                  </w:divsChild>
                </w:div>
                <w:div w:id="1904293269">
                  <w:marLeft w:val="0"/>
                  <w:marRight w:val="0"/>
                  <w:marTop w:val="0"/>
                  <w:marBottom w:val="0"/>
                  <w:divBdr>
                    <w:top w:val="none" w:sz="0" w:space="0" w:color="auto"/>
                    <w:left w:val="none" w:sz="0" w:space="0" w:color="auto"/>
                    <w:bottom w:val="none" w:sz="0" w:space="0" w:color="auto"/>
                    <w:right w:val="none" w:sz="0" w:space="0" w:color="auto"/>
                  </w:divBdr>
                </w:div>
                <w:div w:id="839782055">
                  <w:marLeft w:val="0"/>
                  <w:marRight w:val="0"/>
                  <w:marTop w:val="0"/>
                  <w:marBottom w:val="0"/>
                  <w:divBdr>
                    <w:top w:val="none" w:sz="0" w:space="0" w:color="auto"/>
                    <w:left w:val="none" w:sz="0" w:space="0" w:color="auto"/>
                    <w:bottom w:val="none" w:sz="0" w:space="0" w:color="auto"/>
                    <w:right w:val="none" w:sz="0" w:space="0" w:color="auto"/>
                  </w:divBdr>
                </w:div>
                <w:div w:id="421493701">
                  <w:marLeft w:val="0"/>
                  <w:marRight w:val="0"/>
                  <w:marTop w:val="0"/>
                  <w:marBottom w:val="0"/>
                  <w:divBdr>
                    <w:top w:val="none" w:sz="0" w:space="0" w:color="auto"/>
                    <w:left w:val="none" w:sz="0" w:space="0" w:color="auto"/>
                    <w:bottom w:val="none" w:sz="0" w:space="0" w:color="auto"/>
                    <w:right w:val="none" w:sz="0" w:space="0" w:color="auto"/>
                  </w:divBdr>
                </w:div>
                <w:div w:id="1724333904">
                  <w:marLeft w:val="0"/>
                  <w:marRight w:val="0"/>
                  <w:marTop w:val="0"/>
                  <w:marBottom w:val="0"/>
                  <w:divBdr>
                    <w:top w:val="none" w:sz="0" w:space="0" w:color="auto"/>
                    <w:left w:val="none" w:sz="0" w:space="0" w:color="auto"/>
                    <w:bottom w:val="none" w:sz="0" w:space="0" w:color="auto"/>
                    <w:right w:val="none" w:sz="0" w:space="0" w:color="auto"/>
                  </w:divBdr>
                </w:div>
              </w:divsChild>
            </w:div>
            <w:div w:id="1660383546">
              <w:marLeft w:val="0"/>
              <w:marRight w:val="0"/>
              <w:marTop w:val="0"/>
              <w:marBottom w:val="0"/>
              <w:divBdr>
                <w:top w:val="none" w:sz="0" w:space="0" w:color="auto"/>
                <w:left w:val="single" w:sz="6" w:space="0" w:color="DCDCDC"/>
                <w:bottom w:val="none" w:sz="0" w:space="0" w:color="auto"/>
                <w:right w:val="single" w:sz="6" w:space="0" w:color="DCDCDC"/>
              </w:divBdr>
              <w:divsChild>
                <w:div w:id="1614433685">
                  <w:marLeft w:val="0"/>
                  <w:marRight w:val="0"/>
                  <w:marTop w:val="0"/>
                  <w:marBottom w:val="0"/>
                  <w:divBdr>
                    <w:top w:val="none" w:sz="0" w:space="0" w:color="auto"/>
                    <w:left w:val="none" w:sz="0" w:space="0" w:color="auto"/>
                    <w:bottom w:val="none" w:sz="0" w:space="0" w:color="auto"/>
                    <w:right w:val="none" w:sz="0" w:space="0" w:color="auto"/>
                  </w:divBdr>
                  <w:divsChild>
                    <w:div w:id="850871944">
                      <w:marLeft w:val="0"/>
                      <w:marRight w:val="0"/>
                      <w:marTop w:val="0"/>
                      <w:marBottom w:val="0"/>
                      <w:divBdr>
                        <w:top w:val="none" w:sz="0" w:space="0" w:color="auto"/>
                        <w:left w:val="none" w:sz="0" w:space="0" w:color="auto"/>
                        <w:bottom w:val="none" w:sz="0" w:space="0" w:color="auto"/>
                        <w:right w:val="none" w:sz="0" w:space="0" w:color="auto"/>
                      </w:divBdr>
                      <w:divsChild>
                        <w:div w:id="1258174956">
                          <w:marLeft w:val="0"/>
                          <w:marRight w:val="0"/>
                          <w:marTop w:val="0"/>
                          <w:marBottom w:val="0"/>
                          <w:divBdr>
                            <w:top w:val="none" w:sz="0" w:space="0" w:color="auto"/>
                            <w:left w:val="none" w:sz="0" w:space="0" w:color="auto"/>
                            <w:bottom w:val="none" w:sz="0" w:space="0" w:color="auto"/>
                            <w:right w:val="none" w:sz="0" w:space="0" w:color="auto"/>
                          </w:divBdr>
                          <w:divsChild>
                            <w:div w:id="903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cons/cgi/online.cgi?rnd=90F7408002B325F3A742B96C416B7FC5&amp;req=doc&amp;base=LAW&amp;n=351490&amp;dst=1650&amp;fld=134&amp;REFFIELD=134&amp;REFDST=100030&amp;REFDOC=21983&amp;REFBASE=QSBO&amp;stat=refcode%3D10881%3Bdstident%3D1650%3Bindex%3D36" TargetMode="External"/><Relationship Id="rId4" Type="http://schemas.openxmlformats.org/officeDocument/2006/relationships/hyperlink" Target="http://www.consultant.ru/cons/cgi/online.cgi?rnd=90F7408002B325F3A742B96C416B7FC5&amp;req=doc&amp;base=LAW&amp;n=354560&amp;dst=425&amp;fld=134&amp;REFFIELD=134&amp;REFDST=1000000007&amp;REFDOC=21983&amp;REFBASE=QSBO&amp;stat=refcode%3D16876%3Bdstident%3D425%3Bindex%3D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2056</Words>
  <Characters>11722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2021-03-17T05:40:00Z</dcterms:created>
  <dcterms:modified xsi:type="dcterms:W3CDTF">2021-03-17T05:56:00Z</dcterms:modified>
</cp:coreProperties>
</file>