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306" w:rsidRPr="00466712" w:rsidRDefault="00D54306" w:rsidP="00D54306">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91699"/>
          <w:sz w:val="24"/>
          <w:szCs w:val="24"/>
          <w:lang w:eastAsia="ru-RU"/>
        </w:rPr>
      </w:pPr>
      <w:r w:rsidRPr="003C7C8B">
        <w:rPr>
          <w:rFonts w:ascii="Arial" w:eastAsia="Times New Roman" w:hAnsi="Arial" w:cs="Arial"/>
          <w:color w:val="000000"/>
          <w:sz w:val="24"/>
          <w:szCs w:val="24"/>
          <w:lang w:eastAsia="ru-RU"/>
        </w:rPr>
        <w:fldChar w:fldCharType="begin"/>
      </w:r>
      <w:r w:rsidRPr="003C7C8B">
        <w:rPr>
          <w:rFonts w:ascii="Arial" w:eastAsia="Times New Roman" w:hAnsi="Arial" w:cs="Arial"/>
          <w:color w:val="000000"/>
          <w:sz w:val="24"/>
          <w:szCs w:val="24"/>
          <w:lang w:eastAsia="ru-RU"/>
        </w:rPr>
        <w:instrText xml:space="preserve"> HYPERLINK "http://www.consultant.ru/cons/cgi/online.cgi?req=doc&amp;base=QUEST&amp;n=198693" \t "_blank" </w:instrText>
      </w:r>
      <w:r w:rsidRPr="003C7C8B">
        <w:rPr>
          <w:rFonts w:ascii="Arial" w:eastAsia="Times New Roman" w:hAnsi="Arial" w:cs="Arial"/>
          <w:color w:val="000000"/>
          <w:sz w:val="24"/>
          <w:szCs w:val="24"/>
          <w:lang w:eastAsia="ru-RU"/>
        </w:rPr>
        <w:fldChar w:fldCharType="separate"/>
      </w:r>
      <w:r w:rsidRPr="00466712">
        <w:rPr>
          <w:rFonts w:ascii="Arial" w:hAnsi="Arial" w:cs="Arial"/>
          <w:color w:val="4D4D4D"/>
          <w:sz w:val="27"/>
          <w:szCs w:val="27"/>
        </w:rPr>
        <w:t>Письмо Минфина России от 31 июля 2020 г. № 24-02-08/67277 "О рассмотрении обращения"</w:t>
      </w:r>
    </w:p>
    <w:p w:rsidR="00D54306" w:rsidRPr="009F7862" w:rsidRDefault="00D54306" w:rsidP="00D54306">
      <w:pPr>
        <w:shd w:val="clear" w:color="auto" w:fill="FFFFFF"/>
        <w:spacing w:line="240" w:lineRule="auto"/>
        <w:rPr>
          <w:rFonts w:ascii="Arial" w:eastAsia="Times New Roman" w:hAnsi="Arial" w:cs="Arial"/>
          <w:color w:val="333333"/>
          <w:sz w:val="21"/>
          <w:szCs w:val="21"/>
          <w:lang w:eastAsia="ru-RU"/>
        </w:rPr>
      </w:pPr>
      <w:r w:rsidRPr="009F7862">
        <w:rPr>
          <w:rFonts w:ascii="Arial" w:eastAsia="Times New Roman" w:hAnsi="Arial" w:cs="Arial"/>
          <w:color w:val="333333"/>
          <w:sz w:val="21"/>
          <w:szCs w:val="21"/>
          <w:lang w:eastAsia="ru-RU"/>
        </w:rPr>
        <w:t>23 сентября 2020</w:t>
      </w:r>
    </w:p>
    <w:p w:rsidR="00D54306" w:rsidRPr="009F7862" w:rsidRDefault="00D54306" w:rsidP="00D54306">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 xml:space="preserve">Департамент бюджетной политики в сфере контрактной системы Минфина России (далее - Департамент), рассмотрев обращение по вопросу применения положений Федерального закона от 05.04.2013 </w:t>
      </w:r>
      <w:r>
        <w:rPr>
          <w:rFonts w:ascii="Arial" w:eastAsia="Times New Roman" w:hAnsi="Arial" w:cs="Arial"/>
          <w:color w:val="333333"/>
          <w:sz w:val="23"/>
          <w:szCs w:val="23"/>
          <w:lang w:eastAsia="ru-RU"/>
        </w:rPr>
        <w:t>№</w:t>
      </w:r>
      <w:r w:rsidRPr="009F7862">
        <w:rPr>
          <w:rFonts w:ascii="Arial" w:eastAsia="Times New Roman" w:hAnsi="Arial" w:cs="Arial"/>
          <w:color w:val="333333"/>
          <w:sz w:val="23"/>
          <w:szCs w:val="23"/>
          <w:lang w:eastAsia="ru-RU"/>
        </w:rPr>
        <w:t>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Обращение) в части выбора способа определения поставщика (подрядчика, исполнителя) при осуществлении закупки работ по проведению лесоустройства, в рамках компетенций сообщает следующее.</w:t>
      </w:r>
    </w:p>
    <w:p w:rsidR="00D54306" w:rsidRPr="009F7862" w:rsidRDefault="00D54306" w:rsidP="00D54306">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 xml:space="preserve">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w:t>
      </w:r>
      <w:r>
        <w:rPr>
          <w:rFonts w:ascii="Arial" w:eastAsia="Times New Roman" w:hAnsi="Arial" w:cs="Arial"/>
          <w:color w:val="333333"/>
          <w:sz w:val="23"/>
          <w:szCs w:val="23"/>
          <w:lang w:eastAsia="ru-RU"/>
        </w:rPr>
        <w:t>№</w:t>
      </w:r>
      <w:r w:rsidRPr="009F7862">
        <w:rPr>
          <w:rFonts w:ascii="Arial" w:eastAsia="Times New Roman" w:hAnsi="Arial" w:cs="Arial"/>
          <w:color w:val="333333"/>
          <w:sz w:val="23"/>
          <w:szCs w:val="23"/>
          <w:lang w:eastAsia="ru-RU"/>
        </w:rPr>
        <w:t>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D54306" w:rsidRPr="009F7862" w:rsidRDefault="00D54306" w:rsidP="00D54306">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Вместе с тем Департамент считает возможным по изложенному в Обращении вопросу сообщить следующее.</w:t>
      </w:r>
    </w:p>
    <w:p w:rsidR="00D54306" w:rsidRPr="009F7862" w:rsidRDefault="00D54306" w:rsidP="00D54306">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Согласно части 5 статьи 24 Закона о контрактной системе заказчик выбирает самостоятельно способ определения поставщика (подрядчика, исполнителя) в соответствии с положениями главы 3 Закона о контрактной системе. При этом он не вправе совершать действия, влекущие за собой необоснованное сокращение числа участников закупки.</w:t>
      </w:r>
    </w:p>
    <w:p w:rsidR="00D54306" w:rsidRPr="009F7862" w:rsidRDefault="00D54306" w:rsidP="00D54306">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 xml:space="preserve">В соответствии с частью 2 статьи 59 Закона о контрактной системе в случае осуществления закупки товаров, работ, услуг, включенных в перечень, утвержденный распоряжением Правительства Российской Федерации от 21.03.2016 </w:t>
      </w:r>
      <w:r>
        <w:rPr>
          <w:rFonts w:ascii="Arial" w:eastAsia="Times New Roman" w:hAnsi="Arial" w:cs="Arial"/>
          <w:color w:val="333333"/>
          <w:sz w:val="23"/>
          <w:szCs w:val="23"/>
          <w:lang w:eastAsia="ru-RU"/>
        </w:rPr>
        <w:t>№</w:t>
      </w:r>
      <w:r w:rsidRPr="009F7862">
        <w:rPr>
          <w:rFonts w:ascii="Arial" w:eastAsia="Times New Roman" w:hAnsi="Arial" w:cs="Arial"/>
          <w:color w:val="333333"/>
          <w:sz w:val="23"/>
          <w:szCs w:val="23"/>
          <w:lang w:eastAsia="ru-RU"/>
        </w:rPr>
        <w:t> 471-р (далее - Перечень),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заказчик обязан проводить электронный аукцион,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Закона о контрактной системе.</w:t>
      </w:r>
    </w:p>
    <w:p w:rsidR="00D54306" w:rsidRPr="009F7862" w:rsidRDefault="00D54306" w:rsidP="00D54306">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При этом частью 3 статьи 59 Закона о контрактной системе установлено, что заказчик имеет право осуществлять путем проведения электронного аукциона закупки иных товаров, работ, услуг, не включенных в указанные в части 2 статьи 59 Закона о контрактной системе перечни.</w:t>
      </w:r>
    </w:p>
    <w:p w:rsidR="00D54306" w:rsidRPr="009F7862" w:rsidRDefault="00D54306" w:rsidP="00D54306">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Учитывая, что Перечень содержит наименования объектов закупок, кодов ОКПД2, заказчики для цели выбора способа определения поставщика (подрядчика, исполнителя) самостоятельно определяют код ОКПД 2 путем соотнесения объекта закупки к соответствующему коду и наименованию позиции ОКПД 2 с учетом специфики закупки в области применения.</w:t>
      </w:r>
    </w:p>
    <w:p w:rsidR="00D54306" w:rsidRPr="009F7862" w:rsidRDefault="00D54306" w:rsidP="00D54306">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lastRenderedPageBreak/>
        <w:t>Услуга по закупке работ по проведению лесоустройства, отнесенная к коду 84.13.11.000 ОКПД 2, не содержится в Перечне.</w:t>
      </w:r>
    </w:p>
    <w:p w:rsidR="00D54306" w:rsidRPr="009F7862" w:rsidRDefault="00D54306" w:rsidP="00D54306">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Таким образом, закупку услуги, отнесенной к коду 84.13.11.000 ОКПД 2, заказчик вправе осуществить путем проведения электронного аукциона или иного способа определения поставщика (подрядчика, исполнителя) в соответствии с требованиями Закона о контрактной системе, в том числе открытого конкурса в электронной форме.</w:t>
      </w:r>
    </w:p>
    <w:p w:rsidR="00D54306" w:rsidRPr="009F7862" w:rsidRDefault="00D54306" w:rsidP="00D54306">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При этом Департамент обращает внимание, что не допускается выбор заказчиком кода ОКПД 2 с целью изменения способа определения поставщика или иных неправомерных действий, которые могут возникнуть в случае указания неверного кода, поскольку в силу части 5 статьи 24 Закона о контрактной системе заказчик не вправе совершать действия, влекущие за собой необоснованное сокращение числа участников закупки, при выборе способа определения поставщика (подрядчика, исполнителя).</w:t>
      </w:r>
    </w:p>
    <w:p w:rsidR="00D54306" w:rsidRPr="009F7862" w:rsidRDefault="00D54306" w:rsidP="00D54306">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Департамент сообщает, что Перечень содержит, в том числе "Услуги, связанные с лесоводством и лесозаготовками" (код 02.4 ОКПД 2).</w:t>
      </w:r>
    </w:p>
    <w:p w:rsidR="00D54306" w:rsidRPr="009F7862" w:rsidRDefault="00D54306" w:rsidP="00D54306">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Таким образом, закупка товаров, работ, услуг, включенных в Перечень, должна осуществляться заказчиком путем проведения электронного аукциона,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Закона о контрактной системе.</w:t>
      </w:r>
    </w:p>
    <w:p w:rsidR="00D54306" w:rsidRPr="009F7862" w:rsidRDefault="00D54306" w:rsidP="00D54306">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Вместе с тем в случае если товары, работы, услуги не включены в Перечень, то проведение электронного аукциона на закупку таких товаров, работ, услуг является правом заказчика.</w:t>
      </w:r>
    </w:p>
    <w:p w:rsidR="00D54306" w:rsidRPr="009F7862" w:rsidRDefault="00D54306" w:rsidP="00D54306">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Дополнительно Департамент обращает внимание, что федеральным органом исполнительной власти, ответственным за разработку ОКПД 2, является Минэкономразвития России, в связи с чем по вопросу применения ОКПД 2 заявитель вправе обратиться в адрес Минэкономразвития России.</w:t>
      </w:r>
    </w:p>
    <w:tbl>
      <w:tblPr>
        <w:tblW w:w="0" w:type="auto"/>
        <w:tblCellMar>
          <w:top w:w="15" w:type="dxa"/>
          <w:left w:w="15" w:type="dxa"/>
          <w:bottom w:w="15" w:type="dxa"/>
          <w:right w:w="15" w:type="dxa"/>
        </w:tblCellMar>
        <w:tblLook w:val="04A0" w:firstRow="1" w:lastRow="0" w:firstColumn="1" w:lastColumn="0" w:noHBand="0" w:noVBand="1"/>
      </w:tblPr>
      <w:tblGrid>
        <w:gridCol w:w="3896"/>
        <w:gridCol w:w="3896"/>
      </w:tblGrid>
      <w:tr w:rsidR="00D54306" w:rsidRPr="009F7862" w:rsidTr="006B19B9">
        <w:tc>
          <w:tcPr>
            <w:tcW w:w="2500" w:type="pct"/>
            <w:hideMark/>
          </w:tcPr>
          <w:p w:rsidR="00D54306" w:rsidRPr="009F7862" w:rsidRDefault="00D54306" w:rsidP="006B19B9">
            <w:pPr>
              <w:spacing w:after="0" w:line="240" w:lineRule="auto"/>
              <w:rPr>
                <w:rFonts w:ascii="Times New Roman" w:eastAsia="Times New Roman" w:hAnsi="Times New Roman" w:cs="Times New Roman"/>
                <w:sz w:val="24"/>
                <w:szCs w:val="24"/>
                <w:lang w:eastAsia="ru-RU"/>
              </w:rPr>
            </w:pPr>
            <w:r w:rsidRPr="009F7862">
              <w:rPr>
                <w:rFonts w:ascii="Times New Roman" w:eastAsia="Times New Roman" w:hAnsi="Times New Roman" w:cs="Times New Roman"/>
                <w:sz w:val="24"/>
                <w:szCs w:val="24"/>
                <w:lang w:eastAsia="ru-RU"/>
              </w:rPr>
              <w:t>Заместитель директора Департамента</w:t>
            </w:r>
          </w:p>
        </w:tc>
        <w:tc>
          <w:tcPr>
            <w:tcW w:w="2500" w:type="pct"/>
            <w:hideMark/>
          </w:tcPr>
          <w:p w:rsidR="00D54306" w:rsidRPr="009F7862" w:rsidRDefault="00D54306" w:rsidP="006B19B9">
            <w:pPr>
              <w:spacing w:after="0" w:line="240" w:lineRule="auto"/>
              <w:rPr>
                <w:rFonts w:ascii="Times New Roman" w:eastAsia="Times New Roman" w:hAnsi="Times New Roman" w:cs="Times New Roman"/>
                <w:sz w:val="24"/>
                <w:szCs w:val="24"/>
                <w:lang w:eastAsia="ru-RU"/>
              </w:rPr>
            </w:pPr>
            <w:r w:rsidRPr="009F7862">
              <w:rPr>
                <w:rFonts w:ascii="Times New Roman" w:eastAsia="Times New Roman" w:hAnsi="Times New Roman" w:cs="Times New Roman"/>
                <w:sz w:val="24"/>
                <w:szCs w:val="24"/>
                <w:lang w:eastAsia="ru-RU"/>
              </w:rPr>
              <w:t>И.Ю. Куст</w:t>
            </w:r>
          </w:p>
        </w:tc>
      </w:tr>
    </w:tbl>
    <w:p w:rsidR="00034B87" w:rsidRDefault="00D54306">
      <w:r w:rsidRPr="003C7C8B">
        <w:rPr>
          <w:rFonts w:ascii="Arial" w:eastAsia="Times New Roman" w:hAnsi="Arial" w:cs="Arial"/>
          <w:color w:val="000000"/>
          <w:sz w:val="24"/>
          <w:szCs w:val="24"/>
          <w:lang w:eastAsia="ru-RU"/>
        </w:rPr>
        <w:fldChar w:fldCharType="end"/>
      </w:r>
      <w:bookmarkStart w:id="0" w:name="_GoBack"/>
      <w:bookmarkEnd w:id="0"/>
    </w:p>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F135D6"/>
    <w:multiLevelType w:val="multilevel"/>
    <w:tmpl w:val="389C4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306"/>
    <w:rsid w:val="005C245C"/>
    <w:rsid w:val="00AD6C02"/>
    <w:rsid w:val="00D54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0B489-8BE7-4617-A270-B5CF5F0F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3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2021-04-06T08:57:00Z</dcterms:created>
  <dcterms:modified xsi:type="dcterms:W3CDTF">2021-04-06T08:57:00Z</dcterms:modified>
</cp:coreProperties>
</file>