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МИНИСТЕРСТВО ФИНАНСОВ РОССИЙСКОЙ ФЕДЕРАЦИИ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ПИСЬМО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от 28.02.2020 г. № 24-01-06/14838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Департамент бюджетной политики в сфере контрактной системы Минфина России, рассмотрев обращение от 21.01.2020 с предложением о рассмотрении вопроса о порядке определения сметной стоимости работ, выполненных подрядчиком, применяющим упрощенную систему налогообложения, в целях перерасчета цены контракта, сообщает следующее.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В соответствии с пунктом 4 статьи 3 Федерального закона от 05.04.2013 </w:t>
      </w:r>
      <w:r>
        <w:rPr>
          <w:rFonts w:ascii="Arial" w:hAnsi="Arial" w:cs="Arial"/>
          <w:color w:val="333333"/>
          <w:sz w:val="26"/>
          <w:szCs w:val="26"/>
        </w:rPr>
        <w:t>№</w:t>
      </w:r>
      <w:r>
        <w:rPr>
          <w:rFonts w:ascii="Arial" w:hAnsi="Arial" w:cs="Arial"/>
          <w:color w:val="333333"/>
          <w:sz w:val="26"/>
          <w:szCs w:val="26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</w:t>
      </w:r>
      <w:bookmarkStart w:id="0" w:name="_GoBack"/>
      <w:bookmarkEnd w:id="0"/>
      <w:r>
        <w:rPr>
          <w:rFonts w:ascii="Arial" w:hAnsi="Arial" w:cs="Arial"/>
          <w:color w:val="333333"/>
          <w:sz w:val="26"/>
          <w:szCs w:val="26"/>
        </w:rPr>
        <w:t>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Вместе с тем сведения о применяемой участниками закупок системе налогообложения не включены в перечень документов и сведений, которые участники закупок должны представлять в составе заявки на участие в закупке.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силу положений Закона о контрактной системе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о контрактной системе.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lastRenderedPageBreak/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Запрос на предоставление ценовой информации может содержать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на то,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при установлении НМЦК заказчику необходимо учитывать все факторы, влияющие на цену, в том числе налоговые платежи, предусмотренные Кодексом.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Согласно части 1 статьи 34 Закона о контрактной системе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о контрактной системе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</w:t>
      </w:r>
      <w:r>
        <w:rPr>
          <w:rFonts w:ascii="Arial" w:hAnsi="Arial" w:cs="Arial"/>
          <w:color w:val="333333"/>
          <w:sz w:val="26"/>
          <w:szCs w:val="26"/>
        </w:rPr>
        <w:lastRenderedPageBreak/>
        <w:t>предусмотренных статьей 34 и статьей 95 Закона о контрактной системе (часть 2 статьи 34 Закона о контрактной системе).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в соответствии с положениями Закона о контрактной системе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о контрактной системе не предусмотрена.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При этом в ряде случаев в соответствии с пунктом 2 части 13 статьи 34 Закона о контрактной системе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Законом о контрактной системе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</w:t>
      </w:r>
      <w:r>
        <w:rPr>
          <w:rFonts w:ascii="Arial" w:hAnsi="Arial" w:cs="Arial"/>
          <w:color w:val="333333"/>
          <w:sz w:val="26"/>
          <w:szCs w:val="26"/>
        </w:rPr>
        <w:lastRenderedPageBreak/>
        <w:t>Кодексом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статьями 161 и 174.1 Кодекса.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Пунктом 5 постановления Пленума Высшего Арбитражного Суда Российской Федерации от 30 мая 2014 г. </w:t>
      </w:r>
      <w:r>
        <w:rPr>
          <w:rFonts w:ascii="Arial" w:hAnsi="Arial" w:cs="Arial"/>
          <w:color w:val="333333"/>
          <w:sz w:val="26"/>
          <w:szCs w:val="26"/>
        </w:rPr>
        <w:t>№</w:t>
      </w:r>
      <w:r>
        <w:rPr>
          <w:rFonts w:ascii="Arial" w:hAnsi="Arial" w:cs="Arial"/>
          <w:color w:val="333333"/>
          <w:sz w:val="26"/>
          <w:szCs w:val="26"/>
        </w:rPr>
        <w:t xml:space="preserve">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главы 21 Кодекса не предусмотрена.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Заместитель директора Департамента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Д.А.ГОТОВЦЕВ</w:t>
      </w:r>
    </w:p>
    <w:p w:rsidR="00085DA2" w:rsidRDefault="00085DA2" w:rsidP="00085DA2">
      <w:pPr>
        <w:pStyle w:val="a3"/>
        <w:spacing w:before="120" w:beforeAutospacing="0" w:after="120" w:afterAutospacing="0" w:line="255" w:lineRule="atLeast"/>
        <w:ind w:left="300" w:right="30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28.02.2020</w:t>
      </w:r>
    </w:p>
    <w:p w:rsidR="00034B87" w:rsidRDefault="00085DA2" w:rsidP="00085DA2">
      <w:pPr>
        <w:jc w:val="both"/>
      </w:pP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A2"/>
    <w:rsid w:val="00085DA2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C65C6-C679-498D-AE2E-D1A61920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2021-04-08T11:00:00Z</dcterms:created>
  <dcterms:modified xsi:type="dcterms:W3CDTF">2021-04-08T11:02:00Z</dcterms:modified>
</cp:coreProperties>
</file>