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D16" w:rsidRPr="00457D16" w:rsidRDefault="00457D16" w:rsidP="00457D16">
      <w:pPr>
        <w:rPr>
          <w:rFonts w:ascii="Verdana" w:hAnsi="Verdana"/>
          <w:sz w:val="21"/>
          <w:szCs w:val="21"/>
        </w:rPr>
      </w:pPr>
      <w:r w:rsidRPr="00457D16">
        <w:t> </w:t>
      </w:r>
    </w:p>
    <w:p w:rsidR="00457D16" w:rsidRPr="00457D16" w:rsidRDefault="00457D16" w:rsidP="00457D16">
      <w:pPr>
        <w:rPr>
          <w:rFonts w:ascii="Arial" w:hAnsi="Arial" w:cs="Arial"/>
          <w:b/>
          <w:bCs/>
          <w:sz w:val="30"/>
          <w:szCs w:val="30"/>
        </w:rPr>
      </w:pPr>
      <w:r w:rsidRPr="00457D16">
        <w:t> </w:t>
      </w:r>
      <w:bookmarkStart w:id="0" w:name="_GoBack"/>
      <w:bookmarkEnd w:id="0"/>
      <w:r w:rsidRPr="00457D16">
        <w:rPr>
          <w:rFonts w:ascii="Arial" w:hAnsi="Arial" w:cs="Arial"/>
          <w:b/>
          <w:bCs/>
          <w:sz w:val="30"/>
          <w:szCs w:val="30"/>
        </w:rPr>
        <w:t>МИНИСТЕРСТВО ФИНАНСОВ РОССИЙСКОЙ ФЕДЕРАЦИИ</w:t>
      </w:r>
    </w:p>
    <w:p w:rsidR="00457D16" w:rsidRPr="00457D16" w:rsidRDefault="00457D16" w:rsidP="00457D16">
      <w:pPr>
        <w:shd w:val="clear" w:color="auto" w:fill="FFFFFF"/>
        <w:spacing w:line="450" w:lineRule="atLeast"/>
        <w:jc w:val="center"/>
        <w:rPr>
          <w:rFonts w:ascii="Arial" w:hAnsi="Arial" w:cs="Arial"/>
          <w:b/>
          <w:bCs/>
          <w:sz w:val="30"/>
          <w:szCs w:val="30"/>
        </w:rPr>
      </w:pPr>
      <w:r w:rsidRPr="00457D16">
        <w:rPr>
          <w:rFonts w:ascii="Arial" w:hAnsi="Arial" w:cs="Arial"/>
          <w:b/>
          <w:bCs/>
          <w:sz w:val="30"/>
          <w:szCs w:val="30"/>
        </w:rPr>
        <w:t> </w:t>
      </w:r>
    </w:p>
    <w:p w:rsidR="00457D16" w:rsidRPr="00457D16" w:rsidRDefault="00457D16" w:rsidP="00457D16">
      <w:pPr>
        <w:shd w:val="clear" w:color="auto" w:fill="FFFFFF"/>
        <w:spacing w:line="450" w:lineRule="atLeast"/>
        <w:jc w:val="center"/>
        <w:rPr>
          <w:rFonts w:ascii="Arial" w:hAnsi="Arial" w:cs="Arial"/>
          <w:b/>
          <w:bCs/>
          <w:sz w:val="30"/>
          <w:szCs w:val="30"/>
        </w:rPr>
      </w:pPr>
      <w:r w:rsidRPr="00457D16">
        <w:rPr>
          <w:rFonts w:ascii="Arial" w:hAnsi="Arial" w:cs="Arial"/>
          <w:b/>
          <w:bCs/>
          <w:sz w:val="30"/>
          <w:szCs w:val="30"/>
        </w:rPr>
        <w:t>ПИСЬМО</w:t>
      </w:r>
    </w:p>
    <w:p w:rsidR="00457D16" w:rsidRPr="00457D16" w:rsidRDefault="00457D16" w:rsidP="00457D16">
      <w:pPr>
        <w:shd w:val="clear" w:color="auto" w:fill="FFFFFF"/>
        <w:spacing w:line="450" w:lineRule="atLeast"/>
        <w:jc w:val="center"/>
        <w:rPr>
          <w:rFonts w:ascii="Arial" w:hAnsi="Arial" w:cs="Arial"/>
          <w:b/>
          <w:bCs/>
          <w:sz w:val="30"/>
          <w:szCs w:val="30"/>
        </w:rPr>
      </w:pPr>
      <w:r w:rsidRPr="00457D16">
        <w:rPr>
          <w:rFonts w:ascii="Arial" w:hAnsi="Arial" w:cs="Arial"/>
          <w:b/>
          <w:bCs/>
          <w:sz w:val="30"/>
          <w:szCs w:val="30"/>
        </w:rPr>
        <w:t>от 13 марта 2020 г. № 24-03-06/19471</w:t>
      </w:r>
    </w:p>
    <w:p w:rsidR="00457D16" w:rsidRPr="00457D16" w:rsidRDefault="00457D16" w:rsidP="00457D16">
      <w:pPr>
        <w:shd w:val="clear" w:color="auto" w:fill="FFFFFF"/>
        <w:spacing w:line="288" w:lineRule="atLeast"/>
        <w:rPr>
          <w:sz w:val="30"/>
          <w:szCs w:val="30"/>
        </w:rPr>
      </w:pPr>
      <w:r w:rsidRPr="00457D16">
        <w:rPr>
          <w:sz w:val="30"/>
          <w:szCs w:val="30"/>
        </w:rPr>
        <w:t> </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Минфин России, рассмотрев обращение по вопросу применения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в рамках своей компетенции сообщает следующее.</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Вместе с тем считаем необходимым отметить следующее.</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Подпунктом "а" пункта 64 статьи 1 Федерального закона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предусмотрено внесение изменений в часть 1 статьи 95 Закона № 44-ФЗ, положения которой распространяются в том числе на контракты, заключенные до 1 июля 2019 г.</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 xml:space="preserve">Пункт 8 части 1 статьи 95 Закона № 44-ФЗ предусматривает возможность изменения по соглашению сторон существенных условий контракта, в случае если при исполнении заключенного на срок не менее </w:t>
      </w:r>
      <w:r w:rsidRPr="00457D16">
        <w:rPr>
          <w:sz w:val="30"/>
          <w:szCs w:val="30"/>
        </w:rPr>
        <w:lastRenderedPageBreak/>
        <w:t>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Предусмотренное указанным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Предельный размер цены контракта, при котором или при превышении которого допускается внесение изменений, предусмотренных пунктом 8 части 1 статьи 95 Закона № 44-ФЗ, установлен постановлением Правительства Российской Федерации от 19 декабря 2013 г. № 1186 (далее - постановление № 1186) и составляет 100 млн рублей.</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Таким образом, при соблюдении совокупности условий, предусмотренных указанными выше нормами Закона № 44-ФЗ и постановления № 1186, существенные условия контракта (одновременное цена и срок исполнения контракта, или только срок, или только цена) могут быть изменены по соглашению сторон.</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 xml:space="preserve">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w:t>
      </w:r>
      <w:r w:rsidRPr="00457D16">
        <w:rPr>
          <w:sz w:val="30"/>
          <w:szCs w:val="30"/>
        </w:rPr>
        <w:lastRenderedPageBreak/>
        <w:t>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Таким образом, пунктом 9 части 1 статьи 95 Закона № 44-ФЗ предусмотрено, что если предметом контракта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то однократное изменение срока исполнения контракта на срок, не превышающий срока исполнения контракта, предусмотренного при его заключении, допускается в следующих случаях:</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возникновение независящих от сторон контракта обстоятельств, влекущих невозможность его исполнения, в том числе необходимость внесения изменений в проектную документацию;</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если контракт не исполняется в установленный срок по вине подрядчика. При этом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Законом № 44-ФЗ.</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При принятии решения, предусмотренного пунктами 8, 9 части 1 статьи 95 Закона № 44-ФЗ, необходимо учитывать, что согласно пункту 2 статьи 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p w:rsidR="00457D16" w:rsidRPr="00457D16" w:rsidRDefault="00457D16" w:rsidP="00457D16">
      <w:pPr>
        <w:shd w:val="clear" w:color="auto" w:fill="FFFFFF"/>
        <w:spacing w:line="288" w:lineRule="atLeast"/>
        <w:ind w:firstLine="540"/>
        <w:jc w:val="both"/>
        <w:rPr>
          <w:sz w:val="30"/>
          <w:szCs w:val="30"/>
        </w:rPr>
      </w:pPr>
      <w:r w:rsidRPr="00457D16">
        <w:rPr>
          <w:sz w:val="30"/>
          <w:szCs w:val="30"/>
        </w:rPr>
        <w:t>Дополнительно отмечаем, что Минстроем России утвержден приказ от 23 декабря 2019 г. № 841/</w:t>
      </w:r>
      <w:proofErr w:type="spellStart"/>
      <w:r w:rsidRPr="00457D16">
        <w:rPr>
          <w:sz w:val="30"/>
          <w:szCs w:val="30"/>
        </w:rPr>
        <w:t>пр</w:t>
      </w:r>
      <w:proofErr w:type="spellEnd"/>
      <w:r w:rsidRPr="00457D16">
        <w:rPr>
          <w:sz w:val="30"/>
          <w:szCs w:val="30"/>
        </w:rPr>
        <w:t xml:space="preserve"> "Об утверждении Порядка определения начальной (максимальной) цены контракта, цены </w:t>
      </w:r>
      <w:r w:rsidRPr="00457D16">
        <w:rPr>
          <w:sz w:val="30"/>
          <w:szCs w:val="30"/>
        </w:rPr>
        <w:lastRenderedPageBreak/>
        <w:t>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который вступил в силу 15 февраля 2020 года.</w:t>
      </w:r>
    </w:p>
    <w:p w:rsidR="00457D16" w:rsidRPr="00457D16" w:rsidRDefault="00457D16" w:rsidP="00457D16">
      <w:pPr>
        <w:shd w:val="clear" w:color="auto" w:fill="FFFFFF"/>
        <w:spacing w:line="288" w:lineRule="atLeast"/>
        <w:rPr>
          <w:sz w:val="30"/>
          <w:szCs w:val="30"/>
        </w:rPr>
      </w:pPr>
      <w:r w:rsidRPr="00457D16">
        <w:rPr>
          <w:sz w:val="30"/>
          <w:szCs w:val="30"/>
        </w:rPr>
        <w:t> </w:t>
      </w:r>
    </w:p>
    <w:p w:rsidR="00457D16" w:rsidRPr="00457D16" w:rsidRDefault="00457D16" w:rsidP="00457D16">
      <w:pPr>
        <w:shd w:val="clear" w:color="auto" w:fill="FFFFFF"/>
        <w:spacing w:line="288" w:lineRule="atLeast"/>
        <w:jc w:val="right"/>
        <w:rPr>
          <w:sz w:val="30"/>
          <w:szCs w:val="30"/>
        </w:rPr>
      </w:pPr>
      <w:r w:rsidRPr="00457D16">
        <w:rPr>
          <w:sz w:val="30"/>
          <w:szCs w:val="30"/>
        </w:rPr>
        <w:t>А.М.ЛАВРОВ</w:t>
      </w:r>
    </w:p>
    <w:p w:rsidR="00457D16" w:rsidRPr="00457D16" w:rsidRDefault="00457D16" w:rsidP="00457D16">
      <w:pPr>
        <w:shd w:val="clear" w:color="auto" w:fill="FFFFFF"/>
        <w:spacing w:line="288" w:lineRule="atLeast"/>
        <w:rPr>
          <w:sz w:val="30"/>
          <w:szCs w:val="30"/>
        </w:rPr>
      </w:pPr>
      <w:r w:rsidRPr="00457D16">
        <w:rPr>
          <w:sz w:val="30"/>
          <w:szCs w:val="30"/>
        </w:rPr>
        <w:t>13.03.2020</w:t>
      </w:r>
    </w:p>
    <w:p w:rsidR="00457D16" w:rsidRPr="00457D16" w:rsidRDefault="00457D16" w:rsidP="00457D16">
      <w:pPr>
        <w:shd w:val="clear" w:color="auto" w:fill="FFFFFF"/>
        <w:spacing w:line="288" w:lineRule="atLeast"/>
        <w:rPr>
          <w:sz w:val="30"/>
          <w:szCs w:val="30"/>
        </w:rPr>
      </w:pPr>
      <w:r w:rsidRPr="00457D16">
        <w:rPr>
          <w:sz w:val="30"/>
          <w:szCs w:val="30"/>
        </w:rPr>
        <w:t> </w:t>
      </w:r>
    </w:p>
    <w:p w:rsidR="00F01971" w:rsidRPr="00457D16" w:rsidRDefault="00F01971"/>
    <w:sectPr w:rsidR="00F01971" w:rsidRPr="00457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D16"/>
    <w:rsid w:val="00457D16"/>
    <w:rsid w:val="00F0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62DB6-61D0-48F2-8760-C6E35AE9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D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6429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2021-06-07T20:06:00Z</dcterms:created>
  <dcterms:modified xsi:type="dcterms:W3CDTF">2021-06-07T20:07:00Z</dcterms:modified>
</cp:coreProperties>
</file>