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9B" w:rsidRDefault="00ED469B" w:rsidP="00ED469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D469B" w:rsidRDefault="00ED469B" w:rsidP="00ED4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D469B" w:rsidRDefault="00ED469B" w:rsidP="00ED4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D469B" w:rsidRDefault="00ED469B" w:rsidP="00ED4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24-02-08/55829</w:t>
      </w:r>
    </w:p>
    <w:p w:rsidR="00ED469B" w:rsidRDefault="00ED469B" w:rsidP="00ED469B">
      <w:pPr>
        <w:rPr>
          <w:rFonts w:ascii="Times New Roman" w:hAnsi="Times New Roman" w:cs="Times New Roman"/>
        </w:rPr>
      </w:pPr>
      <w:r>
        <w:t> </w:t>
      </w:r>
    </w:p>
    <w:p w:rsidR="00ED469B" w:rsidRDefault="00ED469B" w:rsidP="00ED469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27.05.2020 по вопросу применения положений Федерального </w:t>
      </w:r>
      <w:hyperlink r:id="rId5" w:history="1">
        <w:r w:rsidRPr="0014371F">
          <w:t>закона</w:t>
        </w:r>
      </w:hyperlink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выбора способа определения поставщика (подрядчика, исполнителя), в рамках компетенции сообщает следующее.</w:t>
      </w:r>
    </w:p>
    <w:p w:rsidR="00ED469B" w:rsidRDefault="00ED469B" w:rsidP="00ED469B">
      <w:pPr>
        <w:ind w:firstLine="540"/>
        <w:jc w:val="both"/>
      </w:pPr>
      <w:r>
        <w:t xml:space="preserve">В соответствии с </w:t>
      </w:r>
      <w:r w:rsidRPr="0014371F">
        <w:t>пунктами 11.8</w:t>
      </w:r>
      <w:r>
        <w:t xml:space="preserve"> и </w:t>
      </w:r>
      <w:r w:rsidRPr="0014371F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D469B" w:rsidRDefault="00ED469B" w:rsidP="00ED469B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ED469B" w:rsidRDefault="00ED469B" w:rsidP="00ED469B">
      <w:pPr>
        <w:ind w:firstLine="540"/>
        <w:jc w:val="both"/>
      </w:pPr>
      <w:r>
        <w:t xml:space="preserve">В соответствии с </w:t>
      </w:r>
      <w:r w:rsidRPr="0014371F">
        <w:t>частью 55 статьи 112</w:t>
      </w:r>
      <w:r>
        <w:t xml:space="preserve"> Закона о контрактной системе до 1 января 2024 года Правительство Российской Федерации, высшие исполнительные органы государственной власти субъектов Российской Федерации, местные администрации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</w:t>
      </w:r>
      <w:r w:rsidRPr="0014371F">
        <w:t>частями 56</w:t>
      </w:r>
      <w:r>
        <w:t xml:space="preserve"> - </w:t>
      </w:r>
      <w:r w:rsidRPr="0014371F">
        <w:t>63 статьи 112</w:t>
      </w:r>
      <w:r>
        <w:t xml:space="preserve"> Закона о контрактной системе.</w:t>
      </w:r>
    </w:p>
    <w:p w:rsidR="00ED469B" w:rsidRDefault="00ED469B" w:rsidP="00ED469B">
      <w:pPr>
        <w:ind w:firstLine="540"/>
        <w:jc w:val="both"/>
      </w:pPr>
      <w:r w:rsidRPr="0014371F">
        <w:t>Частью 56 статьи 112</w:t>
      </w:r>
      <w:r>
        <w:t xml:space="preserve"> Закона о контрактной системе установлено, что в случае, предусмотренном </w:t>
      </w:r>
      <w:r w:rsidRPr="0014371F">
        <w:t>частью 55 статьи 112</w:t>
      </w:r>
      <w:r>
        <w:t xml:space="preserve"> Закона о контрактной системе,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:rsidR="00ED469B" w:rsidRDefault="00ED469B" w:rsidP="00ED469B">
      <w:pPr>
        <w:ind w:firstLine="540"/>
        <w:jc w:val="both"/>
      </w:pPr>
      <w:r>
        <w:t xml:space="preserve">Согласно </w:t>
      </w:r>
      <w:r w:rsidRPr="0014371F">
        <w:t>части 58 статьи 112</w:t>
      </w:r>
      <w:r>
        <w:t xml:space="preserve"> Закона о контрактной системе в целях заключения контракта, указанного в </w:t>
      </w:r>
      <w:r w:rsidRPr="0014371F">
        <w:t>части 56 статьи 112</w:t>
      </w:r>
      <w:r>
        <w:t xml:space="preserve"> Закона о контрактной системе, заказчик вправе осуществить закупку путем проведения аукциона в электронной форме или открытого конкурса в электронной форме.</w:t>
      </w:r>
    </w:p>
    <w:p w:rsidR="00ED469B" w:rsidRDefault="00ED469B" w:rsidP="00ED469B">
      <w:pPr>
        <w:ind w:firstLine="540"/>
        <w:jc w:val="both"/>
      </w:pPr>
      <w:r>
        <w:t xml:space="preserve">Вместе с тем последствия признания электронного аукциона и открытого конкурса в электронной форме несостоявшимися установлены положениями </w:t>
      </w:r>
      <w:r w:rsidRPr="00ED469B">
        <w:t>статьи 55.1</w:t>
      </w:r>
      <w:r>
        <w:t xml:space="preserve"> и </w:t>
      </w:r>
      <w:r w:rsidRPr="00ED469B">
        <w:t>статьи 71</w:t>
      </w:r>
      <w:r>
        <w:t xml:space="preserve"> Закона о контрактной системе.</w:t>
      </w:r>
    </w:p>
    <w:p w:rsidR="00ED469B" w:rsidRDefault="00ED469B" w:rsidP="00ED469B">
      <w:pPr>
        <w:ind w:firstLine="540"/>
        <w:jc w:val="both"/>
      </w:pPr>
      <w:r w:rsidRPr="00ED469B">
        <w:t>Частью 4 статьи 55.1</w:t>
      </w:r>
      <w:r>
        <w:t xml:space="preserve"> Закона о контрактной системе и </w:t>
      </w:r>
      <w:r w:rsidRPr="00ED469B">
        <w:t>частью 4 статьи 71</w:t>
      </w:r>
      <w:r>
        <w:t xml:space="preserve"> Закона о контрактной системе предусмотрены случаи, в которых заказчик вправе осуществить закупку путем проведения </w:t>
      </w:r>
      <w:r>
        <w:lastRenderedPageBreak/>
        <w:t xml:space="preserve">запроса предложений в электронной форме в соответствии с </w:t>
      </w:r>
      <w:r w:rsidRPr="00ED469B">
        <w:t>пунктом 5 части 2 статьи 83.1</w:t>
      </w:r>
      <w:r>
        <w:t xml:space="preserve"> Закона о контрактной системе.</w:t>
      </w:r>
    </w:p>
    <w:p w:rsidR="00ED469B" w:rsidRDefault="00ED469B" w:rsidP="00ED469B">
      <w:pPr>
        <w:ind w:firstLine="540"/>
        <w:jc w:val="both"/>
      </w:pPr>
      <w:r>
        <w:t xml:space="preserve">Таким образом, в случае признания электронного аукциона или открытого конкурса в электронной форме несостоявшимися по основаниям, предусмотренным </w:t>
      </w:r>
      <w:r w:rsidRPr="00ED469B">
        <w:t>частью 4 статьи 55.1</w:t>
      </w:r>
      <w:r>
        <w:t xml:space="preserve"> Закона о контрактной системе или </w:t>
      </w:r>
      <w:r w:rsidRPr="00ED469B">
        <w:t>частью 4 статьи 71</w:t>
      </w:r>
      <w:r>
        <w:t xml:space="preserve"> Закона о контрактной системе, заказчик вправе осуществить закупку с целью заключения контракта, указанного в </w:t>
      </w:r>
      <w:r w:rsidRPr="00ED469B">
        <w:t>части 56 статьи 112</w:t>
      </w:r>
      <w:r>
        <w:t xml:space="preserve"> Закона о контрактной системе, путем проведения запроса предложений в электронной форме.</w:t>
      </w:r>
    </w:p>
    <w:p w:rsidR="00ED469B" w:rsidRDefault="00ED469B" w:rsidP="00ED469B">
      <w:r>
        <w:t> </w:t>
      </w:r>
    </w:p>
    <w:p w:rsidR="00ED469B" w:rsidRDefault="00ED469B" w:rsidP="00ED469B">
      <w:pPr>
        <w:jc w:val="right"/>
      </w:pPr>
      <w:r>
        <w:t>Заместитель директора Департамента</w:t>
      </w:r>
    </w:p>
    <w:p w:rsidR="00ED469B" w:rsidRDefault="00ED469B" w:rsidP="00ED469B">
      <w:pPr>
        <w:jc w:val="right"/>
      </w:pPr>
      <w:r>
        <w:t>И.Ю.КУСТ</w:t>
      </w:r>
    </w:p>
    <w:p w:rsidR="00ED469B" w:rsidRDefault="00ED469B" w:rsidP="00ED469B">
      <w:r>
        <w:t>29.06.2020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B1055"/>
    <w:multiLevelType w:val="multilevel"/>
    <w:tmpl w:val="82927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B"/>
    <w:rsid w:val="0014371F"/>
    <w:rsid w:val="007A6835"/>
    <w:rsid w:val="00E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7D60"/>
  <w15:chartTrackingRefBased/>
  <w15:docId w15:val="{1C3FBB8E-54D5-4F6D-8DBA-7B9C414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69B"/>
    <w:rPr>
      <w:color w:val="0000FF"/>
      <w:u w:val="single"/>
    </w:rPr>
  </w:style>
  <w:style w:type="paragraph" w:customStyle="1" w:styleId="search-resultstext">
    <w:name w:val="search-results__text"/>
    <w:basedOn w:val="a"/>
    <w:rsid w:val="00ED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D469B"/>
  </w:style>
  <w:style w:type="character" w:customStyle="1" w:styleId="b">
    <w:name w:val="b"/>
    <w:basedOn w:val="a0"/>
    <w:rsid w:val="00ED469B"/>
  </w:style>
  <w:style w:type="paragraph" w:customStyle="1" w:styleId="search-resultslink-inherit">
    <w:name w:val="search-results__link-inherit"/>
    <w:basedOn w:val="a"/>
    <w:rsid w:val="00ED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D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354560&amp;date=18.07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2021-07-20T11:00:00Z</dcterms:created>
  <dcterms:modified xsi:type="dcterms:W3CDTF">2021-07-20T11:35:00Z</dcterms:modified>
</cp:coreProperties>
</file>