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00A27" w:rsidRDefault="00C00A27" w:rsidP="00C00A27">
      <w:pPr>
        <w:jc w:val="both"/>
      </w:pPr>
      <w:r>
        <w:t> </w:t>
      </w:r>
      <w:r w:rsidRPr="003F35BD">
        <w:t xml:space="preserve"> </w:t>
      </w:r>
    </w:p>
    <w:p w:rsidR="00C00A27" w:rsidRDefault="00C00A27" w:rsidP="00C00A27">
      <w:pPr>
        <w:jc w:val="center"/>
        <w:rPr>
          <w:rFonts w:ascii="Arial" w:hAnsi="Arial" w:cs="Arial"/>
          <w:b/>
          <w:bCs/>
        </w:rPr>
      </w:pPr>
      <w:r>
        <w:rPr>
          <w:rFonts w:ascii="Arial" w:hAnsi="Arial" w:cs="Arial"/>
          <w:b/>
          <w:bCs/>
        </w:rPr>
        <w:t>МИНИСТЕРСТВО ФИНАНСОВ РОССИЙСКОЙ ФЕДЕРАЦИИ</w:t>
      </w:r>
    </w:p>
    <w:p w:rsidR="00C00A27" w:rsidRDefault="00C00A27" w:rsidP="00C00A27">
      <w:pPr>
        <w:jc w:val="center"/>
        <w:rPr>
          <w:rFonts w:ascii="Arial" w:hAnsi="Arial" w:cs="Arial"/>
          <w:b/>
          <w:bCs/>
        </w:rPr>
      </w:pPr>
      <w:r>
        <w:rPr>
          <w:rFonts w:ascii="Arial" w:hAnsi="Arial" w:cs="Arial"/>
          <w:b/>
          <w:bCs/>
        </w:rPr>
        <w:t> </w:t>
      </w:r>
    </w:p>
    <w:p w:rsidR="00C00A27" w:rsidRDefault="00C00A27" w:rsidP="00C00A27">
      <w:pPr>
        <w:jc w:val="center"/>
        <w:rPr>
          <w:rFonts w:ascii="Arial" w:hAnsi="Arial" w:cs="Arial"/>
          <w:b/>
          <w:bCs/>
        </w:rPr>
      </w:pPr>
      <w:r>
        <w:rPr>
          <w:rFonts w:ascii="Arial" w:hAnsi="Arial" w:cs="Arial"/>
          <w:b/>
          <w:bCs/>
        </w:rPr>
        <w:t>ПИСЬМО</w:t>
      </w:r>
    </w:p>
    <w:p w:rsidR="00C00A27" w:rsidRDefault="00C00A27" w:rsidP="00C00A27">
      <w:pPr>
        <w:jc w:val="center"/>
        <w:rPr>
          <w:rFonts w:ascii="Arial" w:hAnsi="Arial" w:cs="Arial"/>
          <w:b/>
          <w:bCs/>
        </w:rPr>
      </w:pPr>
      <w:r>
        <w:rPr>
          <w:rFonts w:ascii="Arial" w:hAnsi="Arial" w:cs="Arial"/>
          <w:b/>
          <w:bCs/>
        </w:rPr>
        <w:t>от 27 августа 2019 г. № 24-03-08/65506</w:t>
      </w:r>
    </w:p>
    <w:p w:rsidR="00C00A27" w:rsidRDefault="00C00A27" w:rsidP="00C00A27">
      <w:pPr>
        <w:jc w:val="both"/>
        <w:rPr>
          <w:rFonts w:ascii="Times New Roman" w:hAnsi="Times New Roman" w:cs="Times New Roman"/>
        </w:rPr>
      </w:pPr>
      <w:r>
        <w:t> </w:t>
      </w:r>
      <w:bookmarkStart w:id="0" w:name="_GoBack"/>
    </w:p>
    <w:p w:rsidR="00C00A27" w:rsidRDefault="00C00A27" w:rsidP="00C00A27">
      <w:pPr>
        <w:jc w:val="both"/>
      </w:pPr>
      <w:r>
        <w:t>Департамент бюджетной политики в сфере контрактной системы Минфина России (далее - Департамент), рассмотрев обращение по вопросу о применении положений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 (далее - Закон № 44-ФЗ) в части применения пункта 6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утвержденных постановлением Правительства Российской Федерации от 30 августа 2017 г.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о внесении изменений в постановление Правительства Российской Федерации от 15 мая 2017 г. № 570 и признании утратившим силу постановления Правительства Российской Федерации от 25 ноября 2013 г. № 1063" (далее - Правила), сообщает следующее.</w:t>
      </w:r>
    </w:p>
    <w:p w:rsidR="00C00A27" w:rsidRDefault="00C00A27" w:rsidP="00C00A27">
      <w:pPr>
        <w:jc w:val="both"/>
      </w:pPr>
      <w:r>
        <w:t>В соответствии с пунктом 11.8 Регламента Министерства финансов Российской Федерации, утвержденного приказом Министерства финансов Российской Федерации от 14 сентября 2018 г. № 194н, Минфином России не осуществляется разъяснение законодательства Российской Федерации, практики его применения, практики применения нормативных правовых актов Минфина России, а также толкование норм, терминов и понятий, за исключением случаев, если на него возложена соответствующая обязанность или если это необходимо для обоснования решения, принятого по обращению.</w:t>
      </w:r>
    </w:p>
    <w:p w:rsidR="00C00A27" w:rsidRDefault="00C00A27" w:rsidP="00C00A27">
      <w:pPr>
        <w:jc w:val="both"/>
      </w:pPr>
      <w:r>
        <w:t>Также Минфин России не обладает ни надзорными, ни контрольными функциями и (или) полномочиями в отношении осуществляемых закупок, в связи с чем не вправе рассматривать вопрос о правомерности совершенных и (или) совершаемых действий участниками контрактной системы в сфере закупок.</w:t>
      </w:r>
    </w:p>
    <w:p w:rsidR="00C00A27" w:rsidRDefault="00C00A27" w:rsidP="00C00A27">
      <w:pPr>
        <w:jc w:val="both"/>
      </w:pPr>
      <w:r>
        <w:t>Вместе с тем Департамент считает возможным сообщить следующее.</w:t>
      </w:r>
    </w:p>
    <w:p w:rsidR="00C00A27" w:rsidRDefault="00C00A27" w:rsidP="00C00A27">
      <w:pPr>
        <w:jc w:val="both"/>
      </w:pPr>
      <w:r>
        <w:t>Согласно пункту 6 Правил установлено, что за каждый факт неисполнения или ненадлежащего исполнения поставщиком (подрядчиком,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виде фиксированной суммы, определяемой от цены контракта.</w:t>
      </w:r>
    </w:p>
    <w:p w:rsidR="00C00A27" w:rsidRDefault="00C00A27" w:rsidP="00C00A27">
      <w:pPr>
        <w:jc w:val="both"/>
      </w:pPr>
      <w:r>
        <w:t>Таким образом, в случае неисполнения или ненадлежащего исполнения поставщиком (подрядчиком, исполнителем) обязательства, предусмотренного контрактом, которое не имеет стоимостного выражения, применяется пункт 6 Правил.</w:t>
      </w:r>
    </w:p>
    <w:p w:rsidR="00C00A27" w:rsidRDefault="00C00A27" w:rsidP="00C00A27">
      <w:pPr>
        <w:jc w:val="both"/>
      </w:pPr>
      <w:r>
        <w:lastRenderedPageBreak/>
        <w:t>Следует отметить, что такие штрафы могут быть установлены, например, за пересортицу товара, непредставление в срок, предусмотренный условиями контракта, документов и т.п. </w:t>
      </w:r>
    </w:p>
    <w:bookmarkEnd w:id="0"/>
    <w:p w:rsidR="00C00A27" w:rsidRDefault="00C00A27" w:rsidP="00C00A27">
      <w:pPr>
        <w:jc w:val="right"/>
      </w:pPr>
      <w:r>
        <w:t>Заместитель директора Департамента</w:t>
      </w:r>
    </w:p>
    <w:p w:rsidR="00C00A27" w:rsidRDefault="00C00A27" w:rsidP="00C00A27">
      <w:pPr>
        <w:jc w:val="right"/>
      </w:pPr>
      <w:r>
        <w:t>Д.А.ГОТОВЦЕВ</w:t>
      </w:r>
    </w:p>
    <w:p w:rsidR="00C00A27" w:rsidRDefault="00C00A27" w:rsidP="00C00A27">
      <w:r>
        <w:t>27.08.2019</w:t>
      </w:r>
    </w:p>
    <w:p w:rsidR="00A3236C" w:rsidRDefault="00A3236C"/>
    <w:sectPr w:rsidR="00A3236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0A27"/>
    <w:rsid w:val="00A3236C"/>
    <w:rsid w:val="00C00A2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BC17B84-3709-4B05-B2F2-1EEBDCED33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00A2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00A27"/>
    <w:rPr>
      <w:color w:val="0000FF"/>
      <w:u w:val="single"/>
    </w:rPr>
  </w:style>
  <w:style w:type="paragraph" w:customStyle="1" w:styleId="search-resultstext">
    <w:name w:val="search-results__text"/>
    <w:basedOn w:val="a"/>
    <w:rsid w:val="00C00A2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blk">
    <w:name w:val="blk"/>
    <w:basedOn w:val="a0"/>
    <w:rsid w:val="00C00A27"/>
  </w:style>
  <w:style w:type="character" w:customStyle="1" w:styleId="b">
    <w:name w:val="b"/>
    <w:basedOn w:val="a0"/>
    <w:rsid w:val="00C00A27"/>
  </w:style>
  <w:style w:type="paragraph" w:customStyle="1" w:styleId="search-resultslink-inherit">
    <w:name w:val="search-results__link-inherit"/>
    <w:basedOn w:val="a"/>
    <w:rsid w:val="00C00A27"/>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470</Words>
  <Characters>2684</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2021-10-06T05:48:00Z</dcterms:created>
  <dcterms:modified xsi:type="dcterms:W3CDTF">2021-10-06T05:54:00Z</dcterms:modified>
</cp:coreProperties>
</file>