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83E" w:rsidRPr="00C7183E" w:rsidRDefault="00C7183E" w:rsidP="00C7183E">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C7183E">
        <w:rPr>
          <w:rFonts w:ascii="Times New Roman" w:eastAsia="Times New Roman" w:hAnsi="Times New Roman" w:cs="Times New Roman"/>
          <w:color w:val="22272F"/>
          <w:sz w:val="34"/>
          <w:szCs w:val="34"/>
          <w:lang w:eastAsia="ru-RU"/>
        </w:rPr>
        <w:t xml:space="preserve">Письмо Министерства строительства и жилищно-коммунального хозяйства РФ от 8 октября 2021 г. </w:t>
      </w:r>
      <w:r>
        <w:rPr>
          <w:rFonts w:ascii="Times New Roman" w:eastAsia="Times New Roman" w:hAnsi="Times New Roman" w:cs="Times New Roman"/>
          <w:color w:val="22272F"/>
          <w:sz w:val="34"/>
          <w:szCs w:val="34"/>
          <w:lang w:eastAsia="ru-RU"/>
        </w:rPr>
        <w:t>№</w:t>
      </w:r>
      <w:r w:rsidRPr="00C7183E">
        <w:rPr>
          <w:rFonts w:ascii="Times New Roman" w:eastAsia="Times New Roman" w:hAnsi="Times New Roman" w:cs="Times New Roman"/>
          <w:color w:val="22272F"/>
          <w:sz w:val="34"/>
          <w:szCs w:val="34"/>
          <w:lang w:eastAsia="ru-RU"/>
        </w:rPr>
        <w:t> 43528-СМ/09</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Министерство строительства и жилищно-коммунального хозяйства Российской Федерации в соответствии с поступающими обращениями по вопросу определения размера изменения (увеличения) цены контракта в связи с существенным увеличением в 2021 году цен на строительные ресурсы сообщает.</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Порядок расчета изменения цены контракта в связи с существенным ростом стоимости строительных ресурсов (далее - Расчет) установлен пунктами 14, 14.1-14.3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 841/</w:t>
      </w:r>
      <w:proofErr w:type="spellStart"/>
      <w:r w:rsidRPr="00C7183E">
        <w:rPr>
          <w:rFonts w:ascii="Times New Roman" w:eastAsia="Times New Roman" w:hAnsi="Times New Roman" w:cs="Times New Roman"/>
          <w:color w:val="22272F"/>
          <w:sz w:val="23"/>
          <w:szCs w:val="23"/>
          <w:lang w:eastAsia="ru-RU"/>
        </w:rPr>
        <w:t>пр</w:t>
      </w:r>
      <w:proofErr w:type="spellEnd"/>
      <w:r w:rsidRPr="00C7183E">
        <w:rPr>
          <w:rFonts w:ascii="Times New Roman" w:eastAsia="Times New Roman" w:hAnsi="Times New Roman" w:cs="Times New Roman"/>
          <w:color w:val="22272F"/>
          <w:sz w:val="23"/>
          <w:szCs w:val="23"/>
          <w:lang w:eastAsia="ru-RU"/>
        </w:rPr>
        <w:t xml:space="preserve"> (далее - Методика № 841/</w:t>
      </w:r>
      <w:proofErr w:type="spellStart"/>
      <w:r w:rsidRPr="00C7183E">
        <w:rPr>
          <w:rFonts w:ascii="Times New Roman" w:eastAsia="Times New Roman" w:hAnsi="Times New Roman" w:cs="Times New Roman"/>
          <w:color w:val="22272F"/>
          <w:sz w:val="23"/>
          <w:szCs w:val="23"/>
          <w:lang w:eastAsia="ru-RU"/>
        </w:rPr>
        <w:t>пр</w:t>
      </w:r>
      <w:proofErr w:type="spellEnd"/>
      <w:r w:rsidRPr="00C7183E">
        <w:rPr>
          <w:rFonts w:ascii="Times New Roman" w:eastAsia="Times New Roman" w:hAnsi="Times New Roman" w:cs="Times New Roman"/>
          <w:color w:val="22272F"/>
          <w:sz w:val="23"/>
          <w:szCs w:val="23"/>
          <w:lang w:eastAsia="ru-RU"/>
        </w:rPr>
        <w:t>).</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 xml:space="preserve">Порядок выполнения Расчета для контрактов стоимостью до 30 млн. руб. установлен пунктом 14.1. Методики № 841/пр. Для таких контрактов Расчет учитывает разницу в стоимости </w:t>
      </w:r>
      <w:proofErr w:type="spellStart"/>
      <w:r w:rsidRPr="00C7183E">
        <w:rPr>
          <w:rFonts w:ascii="Times New Roman" w:eastAsia="Times New Roman" w:hAnsi="Times New Roman" w:cs="Times New Roman"/>
          <w:color w:val="22272F"/>
          <w:sz w:val="23"/>
          <w:szCs w:val="23"/>
          <w:lang w:eastAsia="ru-RU"/>
        </w:rPr>
        <w:t>ценообразующих</w:t>
      </w:r>
      <w:proofErr w:type="spellEnd"/>
      <w:r w:rsidRPr="00C7183E">
        <w:rPr>
          <w:rFonts w:ascii="Times New Roman" w:eastAsia="Times New Roman" w:hAnsi="Times New Roman" w:cs="Times New Roman"/>
          <w:color w:val="22272F"/>
          <w:sz w:val="23"/>
          <w:szCs w:val="23"/>
          <w:lang w:eastAsia="ru-RU"/>
        </w:rPr>
        <w:t xml:space="preserve"> строительных материалов и (или) оборудования на дату заключения контракта и на дату выполнения расчета. Расчет выполняется в разрезе </w:t>
      </w:r>
      <w:proofErr w:type="spellStart"/>
      <w:r w:rsidRPr="00C7183E">
        <w:rPr>
          <w:rFonts w:ascii="Times New Roman" w:eastAsia="Times New Roman" w:hAnsi="Times New Roman" w:cs="Times New Roman"/>
          <w:color w:val="22272F"/>
          <w:sz w:val="23"/>
          <w:szCs w:val="23"/>
          <w:lang w:eastAsia="ru-RU"/>
        </w:rPr>
        <w:t>ценообразующих</w:t>
      </w:r>
      <w:proofErr w:type="spellEnd"/>
      <w:r w:rsidRPr="00C7183E">
        <w:rPr>
          <w:rFonts w:ascii="Times New Roman" w:eastAsia="Times New Roman" w:hAnsi="Times New Roman" w:cs="Times New Roman"/>
          <w:color w:val="22272F"/>
          <w:sz w:val="23"/>
          <w:szCs w:val="23"/>
          <w:lang w:eastAsia="ru-RU"/>
        </w:rPr>
        <w:t xml:space="preserve"> строительных материалов и (или) оборудования, необходимых для исполнения контракта, закупка которых еще не была произведена подрядчиком, но осуществление которой необходимо для выполнения работ, предусмотренных контрактом, и ценовые показатели которых по данным подрядчика претерпели значительное изменение.</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 xml:space="preserve">Для подтверждения ценовых показателей таких </w:t>
      </w:r>
      <w:proofErr w:type="spellStart"/>
      <w:r w:rsidRPr="00C7183E">
        <w:rPr>
          <w:rFonts w:ascii="Times New Roman" w:eastAsia="Times New Roman" w:hAnsi="Times New Roman" w:cs="Times New Roman"/>
          <w:color w:val="22272F"/>
          <w:sz w:val="23"/>
          <w:szCs w:val="23"/>
          <w:lang w:eastAsia="ru-RU"/>
        </w:rPr>
        <w:t>ценообразующих</w:t>
      </w:r>
      <w:proofErr w:type="spellEnd"/>
      <w:r w:rsidRPr="00C7183E">
        <w:rPr>
          <w:rFonts w:ascii="Times New Roman" w:eastAsia="Times New Roman" w:hAnsi="Times New Roman" w:cs="Times New Roman"/>
          <w:color w:val="22272F"/>
          <w:sz w:val="23"/>
          <w:szCs w:val="23"/>
          <w:lang w:eastAsia="ru-RU"/>
        </w:rPr>
        <w:t xml:space="preserve"> строительных материалов и (или) оборудования представляются обосновывающие документы, содержащие информацию о цене таких строительных материалов и (или) оборудования, действующей на дату заключения действующего контракта, а также на дату проведения Расчета.</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При этом датой Расчета является дата предоставления расчетных и обосновывающих документов подрядчиком заказчику.</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По результатам Расчета определяется величина возрастания стоимости строительных материалов и (или) оборудования, закупка которых еще не была осуществлена подрядчиком, которую нельзя было предусмотреть при заключении контракта. Полученная величина изменения стоимости строительных материалов и (или) оборудования (</w:t>
      </w:r>
      <w:proofErr w:type="spellStart"/>
      <w:r w:rsidRPr="00C7183E">
        <w:rPr>
          <w:rFonts w:ascii="Times New Roman" w:eastAsia="Times New Roman" w:hAnsi="Times New Roman" w:cs="Times New Roman"/>
          <w:color w:val="22272F"/>
          <w:sz w:val="23"/>
          <w:szCs w:val="23"/>
          <w:lang w:eastAsia="ru-RU"/>
        </w:rPr>
        <w:t>Сдоп</w:t>
      </w:r>
      <w:proofErr w:type="spellEnd"/>
      <w:r w:rsidRPr="00C7183E">
        <w:rPr>
          <w:rFonts w:ascii="Times New Roman" w:eastAsia="Times New Roman" w:hAnsi="Times New Roman" w:cs="Times New Roman"/>
          <w:color w:val="22272F"/>
          <w:sz w:val="23"/>
          <w:szCs w:val="23"/>
          <w:lang w:eastAsia="ru-RU"/>
        </w:rPr>
        <w:t>) распределяется пропорционально на остаток выполняемых работ по каждой позиции сметы контракта. Распределение осуществляется путем умножения цены работ установленной на единицу измерения сметы контракта по оставшимся работам на коэффициент увеличения стоимости работ.</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Порядок выполнения Расчета для контрактов стоимостью, превышающей 30 млн. руб. установлен пунктом 14.2 Методики № 841/пр.</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Для таких контрактов Расчет выполняется на основании сметной документации, определяющей сметную стоимость всех работ, предусмотренных проектной документацией по объекту строительства, используемой при определении начальной (максимальной) цены контракта (далее - НМЦК) и учитывает удорожание стоимости строительных ресурсов.</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В соответствии с пунктом 31 статьи 1 Градостроительного кодекса Российской Федерации к строительным ресурсам относятся материалы, изделия, конструкции и оборудование, затраты труда работников в строительстве, время эксплуатации машин и механизмов.</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lastRenderedPageBreak/>
        <w:t>Для определения величины удорожания контракта осуществляется расчет коэффициента корректировки цены контракта (</w:t>
      </w:r>
      <w:proofErr w:type="spellStart"/>
      <w:r w:rsidRPr="00C7183E">
        <w:rPr>
          <w:rFonts w:ascii="Times New Roman" w:eastAsia="Times New Roman" w:hAnsi="Times New Roman" w:cs="Times New Roman"/>
          <w:color w:val="22272F"/>
          <w:sz w:val="23"/>
          <w:szCs w:val="23"/>
          <w:lang w:eastAsia="ru-RU"/>
        </w:rPr>
        <w:t>Ккор</w:t>
      </w:r>
      <w:proofErr w:type="spellEnd"/>
      <w:r w:rsidRPr="00C7183E">
        <w:rPr>
          <w:rFonts w:ascii="Times New Roman" w:eastAsia="Times New Roman" w:hAnsi="Times New Roman" w:cs="Times New Roman"/>
          <w:color w:val="22272F"/>
          <w:sz w:val="23"/>
          <w:szCs w:val="23"/>
          <w:lang w:eastAsia="ru-RU"/>
        </w:rPr>
        <w:t>). Указанный коэффициент определяется как отношение сметной стоимости всех работ, предусмотренных проектной документацией по объекту строительства, используемой при определении НМЦК в уровне цен на дату выполнения расчета (</w:t>
      </w:r>
      <w:proofErr w:type="spellStart"/>
      <w:r w:rsidRPr="00C7183E">
        <w:rPr>
          <w:rFonts w:ascii="Times New Roman" w:eastAsia="Times New Roman" w:hAnsi="Times New Roman" w:cs="Times New Roman"/>
          <w:color w:val="22272F"/>
          <w:sz w:val="23"/>
          <w:szCs w:val="23"/>
          <w:lang w:eastAsia="ru-RU"/>
        </w:rPr>
        <w:t>Цнов</w:t>
      </w:r>
      <w:proofErr w:type="spellEnd"/>
      <w:r w:rsidRPr="00C7183E">
        <w:rPr>
          <w:rFonts w:ascii="Times New Roman" w:eastAsia="Times New Roman" w:hAnsi="Times New Roman" w:cs="Times New Roman"/>
          <w:color w:val="22272F"/>
          <w:sz w:val="23"/>
          <w:szCs w:val="23"/>
          <w:lang w:eastAsia="ru-RU"/>
        </w:rPr>
        <w:t>) к сметной стоимости аналогичных работ в уровне цен на дату определения НМЦК (</w:t>
      </w:r>
      <w:proofErr w:type="spellStart"/>
      <w:r w:rsidRPr="00C7183E">
        <w:rPr>
          <w:rFonts w:ascii="Times New Roman" w:eastAsia="Times New Roman" w:hAnsi="Times New Roman" w:cs="Times New Roman"/>
          <w:color w:val="22272F"/>
          <w:sz w:val="23"/>
          <w:szCs w:val="23"/>
          <w:lang w:eastAsia="ru-RU"/>
        </w:rPr>
        <w:t>Цнмцк</w:t>
      </w:r>
      <w:proofErr w:type="spellEnd"/>
      <w:r w:rsidRPr="00C7183E">
        <w:rPr>
          <w:rFonts w:ascii="Times New Roman" w:eastAsia="Times New Roman" w:hAnsi="Times New Roman" w:cs="Times New Roman"/>
          <w:color w:val="22272F"/>
          <w:sz w:val="23"/>
          <w:szCs w:val="23"/>
          <w:lang w:eastAsia="ru-RU"/>
        </w:rPr>
        <w:t>).</w:t>
      </w:r>
    </w:p>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При выполнении такого расчета используются индексы изменения сметной стоимости, учитывающие удорожание сметной стоимости строительных ресурсов. При этом величина удорожания сметной стоимости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претерпели существенное изменение, определяется по результатам конъюнктурного анализа.</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C7183E" w:rsidRPr="00C7183E" w:rsidTr="00C7183E">
        <w:tc>
          <w:tcPr>
            <w:tcW w:w="3300" w:type="pct"/>
            <w:shd w:val="clear" w:color="auto" w:fill="FFFFFF"/>
            <w:vAlign w:val="bottom"/>
            <w:hideMark/>
          </w:tcPr>
          <w:p w:rsidR="00C7183E" w:rsidRPr="00C7183E" w:rsidRDefault="00C7183E" w:rsidP="00C7183E">
            <w:pPr>
              <w:spacing w:after="0"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 </w:t>
            </w:r>
          </w:p>
        </w:tc>
        <w:tc>
          <w:tcPr>
            <w:tcW w:w="1650" w:type="pct"/>
            <w:shd w:val="clear" w:color="auto" w:fill="FFFFFF"/>
            <w:vAlign w:val="bottom"/>
            <w:hideMark/>
          </w:tcPr>
          <w:p w:rsidR="00C7183E" w:rsidRPr="00C7183E" w:rsidRDefault="00C7183E" w:rsidP="00C7183E">
            <w:pPr>
              <w:spacing w:after="0" w:line="240" w:lineRule="auto"/>
              <w:jc w:val="right"/>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C.Г. Музыченко</w:t>
            </w:r>
          </w:p>
        </w:tc>
      </w:tr>
    </w:tbl>
    <w:p w:rsidR="00C7183E" w:rsidRPr="00C7183E" w:rsidRDefault="00C7183E" w:rsidP="00C718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7183E">
        <w:rPr>
          <w:rFonts w:ascii="Times New Roman" w:eastAsia="Times New Roman" w:hAnsi="Times New Roman" w:cs="Times New Roman"/>
          <w:color w:val="22272F"/>
          <w:sz w:val="23"/>
          <w:szCs w:val="23"/>
          <w:lang w:eastAsia="ru-RU"/>
        </w:rPr>
        <w:t> </w:t>
      </w:r>
    </w:p>
    <w:p w:rsidR="00EE24C3" w:rsidRDefault="00EE24C3"/>
    <w:sectPr w:rsidR="00EE2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3E"/>
    <w:rsid w:val="00C7183E"/>
    <w:rsid w:val="00EE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5E8C1-2202-4137-B1A9-3FA50E38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C71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71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7183E"/>
    <w:rPr>
      <w:color w:val="0000FF"/>
      <w:u w:val="single"/>
    </w:rPr>
  </w:style>
  <w:style w:type="paragraph" w:customStyle="1" w:styleId="empty">
    <w:name w:val="empty"/>
    <w:basedOn w:val="a"/>
    <w:rsid w:val="00C718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607</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2021-10-21T05:30:00Z</dcterms:created>
  <dcterms:modified xsi:type="dcterms:W3CDTF">2021-10-21T05:38:00Z</dcterms:modified>
</cp:coreProperties>
</file>