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9AB" w:rsidRDefault="00F939AB" w:rsidP="00F939AB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Информационное сообщение Банка России от 22 октября 2021 г.</w:t>
      </w:r>
      <w:r>
        <w:rPr>
          <w:color w:val="22272F"/>
          <w:sz w:val="34"/>
          <w:szCs w:val="34"/>
        </w:rPr>
        <w:br/>
        <w:t>"Банк России принял решение повысить ключевую ставку на 75 б.п., до 7,50% годовых"</w:t>
      </w:r>
    </w:p>
    <w:p w:rsidR="00661E4B" w:rsidRDefault="00661E4B" w:rsidP="00661E4B">
      <w:pPr>
        <w:jc w:val="both"/>
      </w:pPr>
      <w:bookmarkStart w:id="0" w:name="_GoBack"/>
      <w:r>
        <w:t>Совет директоров Банка России 22 октября 2021 года принял решение повысить ключевую ставку на 75 б.п., до 7,50% годовых. Инфляция складывается значительно выше прогноза Банка России и по итогам 2021 года ожидается в интервале 7,4-7,9%. Вклад в инфляцию со стороны устойчивых факторов остается существенным в связи с более быстрым расширением спроса по сравнению с возможностями наращивания выпуска. В этих условиях и с учетом вновь повысившихся инфляционных ожиданий баланс рисков для инфляции значимо смещен в сторону проинфляционных. Это может привести к более продолжительному отклонению инфляции вверх от цели. Проводимая Банком России денежно-кредитная политика направлена на ограничение этого риска и возвращение инфляции к 4%.</w:t>
      </w:r>
    </w:p>
    <w:p w:rsidR="00661E4B" w:rsidRDefault="00661E4B" w:rsidP="00661E4B">
      <w:pPr>
        <w:jc w:val="both"/>
      </w:pPr>
      <w:r>
        <w:t>При развитии ситуации в соответствии с базовым прогнозом Банк России допускает возможность дальнейших повышений ключевой ставки на ближайших заседаниях. Решения по ключевой ставке будут приниматься с учетом фактической и ожидаемой динамики инфляции относительно цели, развития экономики на прогнозном горизонте, а также оценки рисков со стороны внутренних и внешних условий и реакции на них финансовых рынков. По прогнозу Банка России, с учетом проводимой денежно-кредитной политики годовая инфляция снизится до 4,0-4,5% в 2022 году и в дальнейшем будет находиться вблизи 4%.</w:t>
      </w:r>
    </w:p>
    <w:p w:rsidR="00661E4B" w:rsidRDefault="00661E4B" w:rsidP="00661E4B">
      <w:pPr>
        <w:jc w:val="both"/>
      </w:pPr>
      <w:r>
        <w:t>Динамика инфляции. Инфляция складывается выше июльского прогноза Банка России. В сентябре месячные сезонно сглаженные темпы роста потребительских цен значимо выросли. Годовая инфляция увеличилась до 7,4% (после 6,7% в августе) и, по оценке на 18 октября, возросла до 7,8%. По итогам 2021 года годовая инфляция ожидается в интервале 7,4-7,9%.</w:t>
      </w:r>
    </w:p>
    <w:p w:rsidR="00661E4B" w:rsidRDefault="00661E4B" w:rsidP="00661E4B">
      <w:pPr>
        <w:jc w:val="both"/>
      </w:pPr>
      <w:r>
        <w:t>В ускорении годовой инфляции со второй половины августа существенную роль играет рост цен на плодоовощную продукцию. Но и показатели, отражающие наиболее устойчивые процессы ценовой динамики, по оценкам Банка России, продолжают находиться значимо выше 4% в годовом выражении. Это является отражением того, что устойчивый рост внутреннего спроса опережает возможности расширения производства по широкому кругу отраслей. На этом фоне предприятиям легче переносить в цены возросшие издержки, в том числе связанные с ростом цен на мировых рынках.</w:t>
      </w:r>
    </w:p>
    <w:p w:rsidR="00661E4B" w:rsidRDefault="00661E4B" w:rsidP="00661E4B">
      <w:pPr>
        <w:jc w:val="both"/>
      </w:pPr>
      <w:r>
        <w:t>Вместе с тем действие разовых проинфляционных факторов со стороны предложения транслируется в рост цен по более широкому кругу товаров и услуг из-за высоких и незаякоренных инфляционных ожиданий населения и бизнеса. В октябре инфляционные ожидания населения вновь повысились и достигли максимальных значений за последние пять лет. Последние данные также указывают на увеличение ценовых ожиданий предприятий. Их ожидания по-прежнему остаются вблизи многолетних максимумов. Ожидания профессиональных аналитиков на среднесрочную перспективу заякорены вблизи 4%.</w:t>
      </w:r>
    </w:p>
    <w:p w:rsidR="00661E4B" w:rsidRDefault="00661E4B" w:rsidP="00661E4B">
      <w:pPr>
        <w:jc w:val="both"/>
      </w:pPr>
      <w:r>
        <w:t>Преобладающее влияние проинфляционных факторов может привести к более значительному и продолжительному отклонению инфляции вверх от цели. Проводимая Банком России денежно-кредитная политика направлена на ограничение этого риска и возвращение годовой инфляции к 4%. В базовом сценарии годовая инфляция снизится до 4,0-4,5% в 2022 году и в дальнейшем будет находиться вблизи 4%.</w:t>
      </w:r>
    </w:p>
    <w:p w:rsidR="00661E4B" w:rsidRDefault="00661E4B" w:rsidP="00661E4B">
      <w:pPr>
        <w:jc w:val="both"/>
      </w:pPr>
      <w:r>
        <w:lastRenderedPageBreak/>
        <w:t>Денежно-кредитные условия существенно не изменились с момента предыдущего заседания Совета директоров Банка России. Повышение рыночных ставок вслед за увеличением ключевой ставки пока оказывает ограниченное влияние на динамику кредитования в условиях повышенных инфляционных ожиданий.</w:t>
      </w:r>
    </w:p>
    <w:p w:rsidR="00661E4B" w:rsidRDefault="00661E4B" w:rsidP="00661E4B">
      <w:pPr>
        <w:jc w:val="both"/>
      </w:pPr>
      <w:r>
        <w:t>Доходности краткосрочных ОФЗ увеличились, отражая ожидания повышения Банком России ключевой ставки. Доходности средне- и долгосрочных ОФЗ также несколько выросли под влиянием тенденций на глобальных финансовых рынках. Продолжается увеличение кредитных и депозитных ставок вслед за повышением ключевой ставки в марте - сентябре. Наметился незначительный приток средств на срочные рублевые депозиты. Корпоративное кредитование продолжает расширяться темпами, близкими к максимумам последних лет. Сохраняется высокая активность на рынке ипотечного и необеспеченного потребительского кредитования. Проводимая Банком России денежно-кредитная политика укрепит тенденцию к повышению привлекательности депозитов для населения, защитит покупательную способность сбережений и обеспечит сбалансированный рост кредитования.</w:t>
      </w:r>
    </w:p>
    <w:p w:rsidR="00661E4B" w:rsidRDefault="00661E4B" w:rsidP="00661E4B">
      <w:pPr>
        <w:jc w:val="both"/>
      </w:pPr>
      <w:r>
        <w:t>Экономическая активность. Оперативные индикаторы в III квартале свидетельствуют о продолжающемся росте экономической активности при некотором замедлении его темпов. Это, по оценкам Банка России, в значительной мере связано с возвращением российской экономики на траекторию сбалансированного роста. Вместе с тем в ряде отраслей усилились ограничения со стороны предложения. Их сдерживающее влияние на деловую активность может вырасти в условиях ужесточения противоэпидемических мер.</w:t>
      </w:r>
    </w:p>
    <w:p w:rsidR="00661E4B" w:rsidRDefault="00661E4B" w:rsidP="00661E4B">
      <w:pPr>
        <w:jc w:val="both"/>
      </w:pPr>
      <w:r>
        <w:t>Ускоренный рост кредитования, единовременные бюджетные выплаты, рост реальных заработных плат и низкая склонность домашних хозяйств к сбережению, обусловленная повышенными инфляционными ожиданиями, поддерживают рост потребительской активности, особенно на рынках непродовольственных товаров. Растущий внутренний и внешний спрос и высокие корпоративные прибыли оказывают поддержку инвестиционной активности. В то же время восстановление сферы услуг сдерживается сложной эпидемической обстановкой.</w:t>
      </w:r>
    </w:p>
    <w:p w:rsidR="00661E4B" w:rsidRDefault="00661E4B" w:rsidP="00661E4B">
      <w:pPr>
        <w:jc w:val="both"/>
      </w:pPr>
      <w:r>
        <w:t>Сохраняется умеренное инфляционное давление со стороны рынка труда. Спрос на рабочую силу растет по широкому кругу отраслей. При этом во многих секторах наблюдается ее дефицит, в том числе из-за сохраняющихся ограничений на приток иностранной рабочей силы. Уровень безработицы находится вблизи исторических минимумов, а число вакансий - на исторических максимумах. Ситуация на рынке труда указывает на то, что в дальнейшем увеличение устойчивых темпов роста российской экономики будет прежде всего определяться темпами роста производительности труда.</w:t>
      </w:r>
    </w:p>
    <w:p w:rsidR="00661E4B" w:rsidRDefault="00661E4B" w:rsidP="00661E4B">
      <w:pPr>
        <w:jc w:val="both"/>
      </w:pPr>
      <w:r>
        <w:t>С учетом складывающейся ситуации в российской и мировой экономике, включая характер ограничений со стороны предложения, Банк России прогнозирует рост ВВП в 2021 году на 4,0-4,5%. В 2022 - 2024 годах российская экономика, по прогнозу Банка России, будет расти на 2,0-3,0% ежегодно.</w:t>
      </w:r>
    </w:p>
    <w:p w:rsidR="00661E4B" w:rsidRDefault="00661E4B" w:rsidP="00661E4B">
      <w:pPr>
        <w:jc w:val="both"/>
      </w:pPr>
      <w:r>
        <w:t>Инфляционные риски. Баланс рисков значимо смещен в сторону проинфляционных. Действие проинфляционных факторов может быть усилено повышенными инфляционными ожиданиями и сопутствующими вторичными эффектами.</w:t>
      </w:r>
    </w:p>
    <w:p w:rsidR="00661E4B" w:rsidRDefault="00661E4B" w:rsidP="00661E4B">
      <w:pPr>
        <w:jc w:val="both"/>
      </w:pPr>
      <w:r>
        <w:t>Дополнительное повышательное давление на цены могут оказывать сохраняющиеся затруднения в производственных и логистических цепочках, дефицит трудовых ресурсов, а также структурные изменения на рынке труда в результате влияния пандемии. Усиление структурного дефицита трудовых ресурсов может привести к отставанию темпов роста производительности труда от роста заработной платы.</w:t>
      </w:r>
    </w:p>
    <w:p w:rsidR="00661E4B" w:rsidRDefault="00661E4B" w:rsidP="00661E4B">
      <w:pPr>
        <w:jc w:val="both"/>
      </w:pPr>
      <w:r>
        <w:lastRenderedPageBreak/>
        <w:t>Сохраняются проинфляционные риски со стороны ценовой конъюнктуры мировых рынков. Дальнейшая динамика продовольственных цен будет во многом зависеть от объема, качества и сохранности урожая сельскохозяйственных культур 2021 года как внутри страны, так и за рубежом.</w:t>
      </w:r>
    </w:p>
    <w:p w:rsidR="00661E4B" w:rsidRDefault="00661E4B" w:rsidP="00661E4B">
      <w:pPr>
        <w:jc w:val="both"/>
      </w:pPr>
      <w:r>
        <w:t>Краткосрочные проинфляционные риски также связаны с усилением волатильности на глобальных рынках, в том числе под влиянием различных геополитических событий, что может отражаться на курсовых и инфляционных ожиданиях. В случае дальнейшего усиления инфляционного давления в мировой экономике возможна более быстрая нормализация денежно-кредитной политики центральными банками развитых стран. Это может стать дополнительным фактором роста волатильности на мировых финансовых рынках.</w:t>
      </w:r>
    </w:p>
    <w:p w:rsidR="00661E4B" w:rsidRDefault="00661E4B" w:rsidP="00661E4B">
      <w:pPr>
        <w:jc w:val="both"/>
      </w:pPr>
      <w:r>
        <w:t>Дезинфляционные риски для базового сценария остаются умеренными. Открытие границ по мере снятия ограничительных мер может восстановить потребление зарубежных услуг, а также ослабить ограничения со стороны предложения, в том числе на рынке труда через приток иностранной рабочей силы.</w:t>
      </w:r>
    </w:p>
    <w:p w:rsidR="00661E4B" w:rsidRDefault="00661E4B" w:rsidP="00661E4B">
      <w:pPr>
        <w:jc w:val="both"/>
      </w:pPr>
      <w:r>
        <w:t>На среднесрочную динамику инфляции значимо влияет бюджетная политика. В базовом сценарии Банк России исходит из заложенной в Основных направлениях бюджетной, налоговой и таможенно-тарифной политики траектории нормализации бюджетной политики, предполагающей возвращение к параметрам бюджетного правила в 2022 году. Банк России также учитывает в прогнозе принятые Правительством Российской Федерации решения об инвестировании ликвидной части Фонда национального благосостояния.</w:t>
      </w:r>
    </w:p>
    <w:p w:rsidR="00661E4B" w:rsidRDefault="00661E4B" w:rsidP="00661E4B">
      <w:pPr>
        <w:jc w:val="both"/>
      </w:pPr>
      <w:r>
        <w:t>При развитии ситуации в соответствии с базовым прогнозом Банк России допускает возможность дальнейших повышений ключевой ставки на ближайших заседаниях. Решения по ключевой ставке будут приниматься с учетом фактической и ожидаемой динамики инфляции относительно цели, развития экономики на прогнозном горизонте, а также оценки рисков со стороны внутренних и внешних условий и реакции на них финансовых рынков.</w:t>
      </w:r>
    </w:p>
    <w:p w:rsidR="00661E4B" w:rsidRDefault="00661E4B" w:rsidP="00661E4B">
      <w:pPr>
        <w:jc w:val="both"/>
      </w:pPr>
      <w:r>
        <w:t>По итогам заседания Совета директоров по ключевой ставке 22 октября 2021 года Банк России опубликовал среднесрочный прогноз.</w:t>
      </w:r>
    </w:p>
    <w:p w:rsidR="00661E4B" w:rsidRDefault="00661E4B" w:rsidP="00661E4B">
      <w:pPr>
        <w:jc w:val="both"/>
      </w:pPr>
      <w:r>
        <w:t>Следующее заседание Совета директоров Банка России, на котором будет рассматриваться вопрос об уровне ключевой ставки, запланировано на 17 декабря 2021 года. Время публикации пресс-релиза о решении Совета директоров Банка России - 13:30 по московскому времени.</w:t>
      </w:r>
    </w:p>
    <w:p w:rsidR="003670C4" w:rsidRDefault="00661E4B" w:rsidP="00661E4B">
      <w:pPr>
        <w:jc w:val="both"/>
      </w:pPr>
      <w:r>
        <w:t>При использовании материала ссылка на Пресс-службу Банка России обязательна.</w:t>
      </w:r>
      <w:bookmarkEnd w:id="0"/>
    </w:p>
    <w:sectPr w:rsidR="0036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AB"/>
    <w:rsid w:val="003670C4"/>
    <w:rsid w:val="00661E4B"/>
    <w:rsid w:val="00F9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40A98-0B25-45B2-BFA6-C55D452E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93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93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39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2021-10-25T07:14:00Z</dcterms:created>
  <dcterms:modified xsi:type="dcterms:W3CDTF">2021-10-25T07:17:00Z</dcterms:modified>
</cp:coreProperties>
</file>