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93" w:rsidRDefault="006D0993" w:rsidP="006D09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D0993" w:rsidRDefault="006D0993" w:rsidP="006D09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D0993" w:rsidRDefault="006D0993" w:rsidP="006D09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D0993" w:rsidRDefault="006D0993" w:rsidP="006D09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24-01-07/58562</w:t>
      </w:r>
    </w:p>
    <w:p w:rsidR="006D0993" w:rsidRDefault="006D0993" w:rsidP="006D0993">
      <w:pPr>
        <w:rPr>
          <w:rFonts w:ascii="Times New Roman" w:hAnsi="Times New Roman" w:cs="Times New Roman"/>
        </w:rPr>
      </w:pPr>
      <w:r>
        <w:t> </w:t>
      </w:r>
    </w:p>
    <w:p w:rsidR="006D0993" w:rsidRDefault="006D0993" w:rsidP="006D0993">
      <w:pPr>
        <w:jc w:val="both"/>
      </w:pPr>
      <w:bookmarkStart w:id="0" w:name="_GoBack"/>
      <w:r>
        <w:t>Департамент бюджетной политики в сфере контрактной системы, рассмотрев обращение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метода при формировании начальной (максимальной) цены контракта, сообщает следующее.</w:t>
      </w:r>
    </w:p>
    <w:p w:rsidR="006D0993" w:rsidRDefault="006D0993" w:rsidP="006D0993">
      <w:pPr>
        <w:jc w:val="both"/>
      </w:pPr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D0993" w:rsidRDefault="006D0993" w:rsidP="006D0993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6D0993" w:rsidRDefault="006D0993" w:rsidP="006D0993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D0993" w:rsidRDefault="006D0993" w:rsidP="006D0993">
      <w:pPr>
        <w:jc w:val="both"/>
      </w:pPr>
      <w:r>
        <w:t>Вместе с тем в рамках установленной компетенции отмечаем,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</w:t>
      </w:r>
    </w:p>
    <w:p w:rsidR="006D0993" w:rsidRDefault="006D0993" w:rsidP="006D0993">
      <w:pPr>
        <w:jc w:val="both"/>
      </w:pPr>
      <w:r>
        <w:t>В соответствии с частью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6D0993" w:rsidRDefault="006D0993" w:rsidP="006D0993">
      <w:pPr>
        <w:jc w:val="both"/>
      </w:pPr>
      <w:r>
        <w:t>Так, положениями части 9 статьи 22 Закона № 44-ФЗ предусмотрен проектно-сметный метод, который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по проектной документации.</w:t>
      </w:r>
    </w:p>
    <w:p w:rsidR="006D0993" w:rsidRDefault="006D0993" w:rsidP="006D0993">
      <w:pPr>
        <w:jc w:val="both"/>
      </w:pPr>
      <w:r>
        <w:t>Кроме того, в соответствии с частью 9.1 статьи 22 Закона № 44-ФЗ проектно-сметный метод может также применяться при определении и обосновании НМЦК,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</w:p>
    <w:p w:rsidR="006D0993" w:rsidRDefault="006D0993" w:rsidP="006D0993">
      <w:pPr>
        <w:jc w:val="both"/>
      </w:pPr>
      <w:r>
        <w:lastRenderedPageBreak/>
        <w:t>Таким образом, использование проектно-сметного метода в целях определения и обоснования НМЦК предусмотрено исключительно в случаях, указанных в частях 9 и 9.1 статьи 22 Закона № 44-ФЗ.</w:t>
      </w:r>
    </w:p>
    <w:p w:rsidR="006D0993" w:rsidRDefault="006D0993" w:rsidP="006D0993">
      <w:pPr>
        <w:jc w:val="both"/>
      </w:pPr>
      <w:r>
        <w:t>Вместе с тем положениями части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</w:t>
      </w:r>
    </w:p>
    <w:p w:rsidR="006D0993" w:rsidRDefault="006D0993" w:rsidP="006D0993">
      <w:pPr>
        <w:jc w:val="both"/>
      </w:pPr>
      <w:r>
        <w:t>В этом случае в обоснование НМЦК заказчик обязан включить обоснование невозможности применения указанных методов.</w:t>
      </w:r>
    </w:p>
    <w:p w:rsidR="006D0993" w:rsidRDefault="006D0993" w:rsidP="006D0993">
      <w:pPr>
        <w:jc w:val="both"/>
      </w:pPr>
      <w: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6D0993" w:rsidRDefault="006D0993" w:rsidP="006D0993">
      <w:pPr>
        <w:jc w:val="both"/>
      </w:pPr>
      <w:r>
        <w:t>Учитывая изложенное, заказчик самостоятельно выбирает метод определения и формирует НМЦК с учетом положений статьи 22 Закона № 44-ФЗ.</w:t>
      </w:r>
    </w:p>
    <w:p w:rsidR="006D0993" w:rsidRDefault="006D0993" w:rsidP="006D0993">
      <w:pPr>
        <w:jc w:val="both"/>
      </w:pPr>
      <w:r>
        <w:t>Дополнительно полагаем необходимым отметить, что вопросы строительства, реконструкции, капитального ремонта объектов капитального строительства, текущего ремонта, порядок и правила разработки проектной документации на указанные виды работ регулируются отраслевым законодательством Российской Федерации.</w:t>
      </w:r>
    </w:p>
    <w:p w:rsidR="006D0993" w:rsidRDefault="006D0993" w:rsidP="006D0993">
      <w:pPr>
        <w:jc w:val="both"/>
      </w:pP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является Минстрой России. </w:t>
      </w:r>
    </w:p>
    <w:bookmarkEnd w:id="0"/>
    <w:p w:rsidR="006D0993" w:rsidRDefault="006D0993" w:rsidP="006D0993">
      <w:pPr>
        <w:jc w:val="right"/>
      </w:pPr>
      <w:r>
        <w:t>Заместитель директора Департамента</w:t>
      </w:r>
    </w:p>
    <w:p w:rsidR="006D0993" w:rsidRDefault="006D0993" w:rsidP="006D0993">
      <w:pPr>
        <w:jc w:val="right"/>
      </w:pPr>
      <w:r>
        <w:t>Д.А.ГОТОВЦЕВ</w:t>
      </w:r>
    </w:p>
    <w:p w:rsidR="006D0993" w:rsidRDefault="006D0993" w:rsidP="006D0993">
      <w:r>
        <w:t>07.07.2020</w:t>
      </w:r>
    </w:p>
    <w:p w:rsidR="00AA1A3A" w:rsidRDefault="00AA1A3A"/>
    <w:sectPr w:rsidR="00A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93"/>
    <w:rsid w:val="006D0993"/>
    <w:rsid w:val="00A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064F-14A7-4A9A-BE8A-DF0EC0FB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993"/>
    <w:rPr>
      <w:color w:val="0000FF"/>
      <w:u w:val="single"/>
    </w:rPr>
  </w:style>
  <w:style w:type="character" w:customStyle="1" w:styleId="blk">
    <w:name w:val="blk"/>
    <w:basedOn w:val="a0"/>
    <w:rsid w:val="006D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2021-11-25T07:45:00Z</dcterms:created>
  <dcterms:modified xsi:type="dcterms:W3CDTF">2021-11-25T07:48:00Z</dcterms:modified>
</cp:coreProperties>
</file>