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661" w:rsidRDefault="002F5661" w:rsidP="002F566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2F5661" w:rsidRDefault="002F5661" w:rsidP="002F566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2F5661" w:rsidRDefault="002F5661" w:rsidP="002F566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2F5661" w:rsidRDefault="002F5661" w:rsidP="002F566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6 мая 2020 г. № 09-01-11/36474</w:t>
      </w:r>
    </w:p>
    <w:p w:rsidR="002F5661" w:rsidRDefault="002F5661" w:rsidP="002F5661">
      <w:pPr>
        <w:jc w:val="both"/>
        <w:rPr>
          <w:rFonts w:ascii="Times New Roman" w:hAnsi="Times New Roman" w:cs="Times New Roman"/>
        </w:rPr>
      </w:pPr>
      <w:r>
        <w:t> </w:t>
      </w:r>
    </w:p>
    <w:p w:rsidR="002F5661" w:rsidRDefault="002F5661" w:rsidP="002F5661">
      <w:pPr>
        <w:jc w:val="both"/>
      </w:pPr>
      <w:r>
        <w:t>Министерство финансов Российской Федерации рассмотрело в пределах компетенции обращение по вопросу осуществления уступки права требования по контракту, заказчиком по которому является бюджетное учреждение, и сообщает следующее.</w:t>
      </w:r>
    </w:p>
    <w:p w:rsidR="002F5661" w:rsidRDefault="002F5661" w:rsidP="002F5661">
      <w:pPr>
        <w:jc w:val="both"/>
      </w:pPr>
      <w: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 июня 2004 г. № 329, Министерству финансов Российской Федерации не предоставлено право давать разъяснения законодательных и иных нормативных правовых актов Российской Федерации и практики их применения, </w:t>
      </w:r>
      <w:proofErr w:type="gramStart"/>
      <w:r>
        <w:t>а также</w:t>
      </w:r>
      <w:proofErr w:type="gramEnd"/>
      <w:r>
        <w:t xml:space="preserve"> по оценке конкретных хозяйственных операций.</w:t>
      </w:r>
    </w:p>
    <w:p w:rsidR="002F5661" w:rsidRDefault="002F5661" w:rsidP="002F5661">
      <w:pPr>
        <w:jc w:val="both"/>
      </w:pPr>
      <w:r>
        <w:t>Согласно пункту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актов, а также толкование норм, терминов и понятий по обращениям организаций, за исключением случаев, если на него возложена соответствующая обязанность.</w:t>
      </w:r>
    </w:p>
    <w:p w:rsidR="002F5661" w:rsidRDefault="002F5661" w:rsidP="002F5661">
      <w:pPr>
        <w:jc w:val="both"/>
      </w:pPr>
      <w:r>
        <w:t>В соответствии со статьей 4 Федерального закона от 2 мая 2006 г. № 59-ФЗ "О порядке рассмотрения обращений граждан Российской Федерации" рассмотрению подлежат следующие виды обращений граждан:</w:t>
      </w:r>
    </w:p>
    <w:p w:rsidR="002F5661" w:rsidRDefault="002F5661" w:rsidP="002F5661">
      <w:pPr>
        <w:jc w:val="both"/>
      </w:pPr>
      <w:r>
        <w:t>предложения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2F5661" w:rsidRDefault="002F5661" w:rsidP="002F5661">
      <w:pPr>
        <w:jc w:val="both"/>
      </w:pPr>
      <w:r>
        <w:t>просьбы граждан о содействии в реализации их конституционных прав и свобод или конституционных прав и свобод других лиц, либо сообщения о нарушении законов или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2F5661" w:rsidRDefault="002F5661" w:rsidP="002F5661">
      <w:pPr>
        <w:jc w:val="both"/>
      </w:pPr>
      <w:r>
        <w:t>жалобы граждан - просьбы о восстановлении или защите их нарушенных прав, свобод или законных интересов либо прав и свобод или законных интересов других лиц.</w:t>
      </w:r>
    </w:p>
    <w:p w:rsidR="002F5661" w:rsidRDefault="002F5661" w:rsidP="002F5661">
      <w:pPr>
        <w:jc w:val="both"/>
      </w:pPr>
      <w:r>
        <w:t>При этом поставленный в обращении вопрос не соответствует приведенным видам обращений граждан, подлежащих рассмотрению федеральными органами власти.</w:t>
      </w:r>
    </w:p>
    <w:p w:rsidR="002F5661" w:rsidRDefault="002F5661" w:rsidP="002F5661">
      <w:pPr>
        <w:jc w:val="both"/>
      </w:pPr>
      <w:r>
        <w:t>Учитывая, что содержащиеся в обращении вопросы касаются деятельности организации и исполнения бюджета, запрос, по мнению Минфина России, должен быть оформлен на бланке организации и подписан руководителем или иным должностным лицом, уполномоченным действовать от имени организации.</w:t>
      </w:r>
    </w:p>
    <w:p w:rsidR="002F5661" w:rsidRDefault="002F5661" w:rsidP="002F5661">
      <w:pPr>
        <w:jc w:val="both"/>
      </w:pPr>
      <w:r>
        <w:t>Вместе с тем Минфин России считает возможным высказать мнение по поставленному в обращении вопросу.</w:t>
      </w:r>
    </w:p>
    <w:p w:rsidR="002F5661" w:rsidRDefault="002F5661" w:rsidP="002F5661">
      <w:pPr>
        <w:jc w:val="both"/>
      </w:pPr>
      <w:r>
        <w:lastRenderedPageBreak/>
        <w:t>Частью 1 статьи 2 Федерального закона от 5 апреля 2013 года № 44-ФЗ "О контрактной системе в сфере закупок товаров, работ, услуг для обеспечения государственных и муниципальных нужд" (далее - Федеральный закон № 44-ФЗ) установлено, что законодательство о контрактной системе основывается в том числе на положениях Гражданского кодекса Российской Федерации и Бюджетного кодекса Российской Федерации (далее соответственно - Гражданский кодекс, Бюджетный кодекс).</w:t>
      </w:r>
    </w:p>
    <w:p w:rsidR="002F5661" w:rsidRDefault="002F5661" w:rsidP="002F5661">
      <w:pPr>
        <w:jc w:val="both"/>
      </w:pPr>
      <w:r>
        <w:t>Согласно пункту 1 статьи 388 Гражданского кодекса уступка требования кредитором (цедентом) другому лицу (цессионарию) допускается, если она не противоречит закону.</w:t>
      </w:r>
    </w:p>
    <w:p w:rsidR="002F5661" w:rsidRDefault="002F5661" w:rsidP="002F5661">
      <w:pPr>
        <w:jc w:val="both"/>
      </w:pPr>
      <w:r>
        <w:t>Частью 2 статьи 34 Федерального закона № 44-ФЗ установлено, что при заключении и исполнении контракта изменение его условий не допускается, за исключением случаев, предусмотренных указанной статьей и статьей 95 Федерального закона № 44-ФЗ.</w:t>
      </w:r>
    </w:p>
    <w:p w:rsidR="002F5661" w:rsidRDefault="002F5661" w:rsidP="002F5661">
      <w:pPr>
        <w:jc w:val="both"/>
      </w:pPr>
      <w:r>
        <w:t>Согласно подпункту 1 части 13 статьи 34 Федерального закона № 44-ФЗ в контракт включается в том числе обязательное условие о порядке и сроках оплаты товара, работы или услуги.</w:t>
      </w:r>
    </w:p>
    <w:p w:rsidR="002F5661" w:rsidRDefault="002F5661" w:rsidP="002F5661">
      <w:pPr>
        <w:jc w:val="both"/>
      </w:pPr>
      <w:r>
        <w:t>Согласно положениям части 5 статьи 95 Федерального закона № 44-ФЗ при исполнении контракта не допускается перемена поставщика (подрядчика, исполнителя), за исключением случая, если новый поставщик (подрядчик, исполнитель) является правопреемником поставщика (подрядчика, исполнителя) по такому контракту вследствие реорганизации юридического лица в форме преобразования, слияния или присоединения.</w:t>
      </w:r>
    </w:p>
    <w:p w:rsidR="002F5661" w:rsidRDefault="002F5661" w:rsidP="002F5661">
      <w:pPr>
        <w:jc w:val="both"/>
      </w:pPr>
      <w:r>
        <w:t>Учитывая изложенное, условие о порядке оплаты товара, работы или услуги, включая платежные реквизиты, которые указаны в контракте, по мнению Минфина России, в силу положений, определенных законодательством о контрактной системе в сфере закупок товаров, работ, услуг для обеспечения государственных и муниципальных нужд, не может быть изменено.</w:t>
      </w:r>
      <w:bookmarkStart w:id="0" w:name="_GoBack"/>
      <w:bookmarkEnd w:id="0"/>
      <w:r>
        <w:t> </w:t>
      </w:r>
    </w:p>
    <w:p w:rsidR="002F5661" w:rsidRDefault="002F5661" w:rsidP="002F5661">
      <w:pPr>
        <w:jc w:val="right"/>
      </w:pPr>
      <w:r>
        <w:t>А.М.ЛАВРОВ</w:t>
      </w:r>
    </w:p>
    <w:p w:rsidR="002F5661" w:rsidRDefault="002F5661" w:rsidP="002F5661">
      <w:pPr>
        <w:jc w:val="both"/>
      </w:pPr>
      <w:r>
        <w:t>06.05.2020</w:t>
      </w:r>
    </w:p>
    <w:p w:rsidR="002F5661" w:rsidRDefault="002F5661" w:rsidP="002F5661">
      <w:pPr>
        <w:jc w:val="both"/>
      </w:pPr>
      <w:r>
        <w:t> </w:t>
      </w:r>
    </w:p>
    <w:p w:rsidR="00C03F39" w:rsidRDefault="00C03F39"/>
    <w:sectPr w:rsidR="00C03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661"/>
    <w:rsid w:val="002F5661"/>
    <w:rsid w:val="00C0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E8C07-4446-4CD7-A93F-868FEB07D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5661"/>
    <w:rPr>
      <w:color w:val="0000FF"/>
      <w:u w:val="single"/>
    </w:rPr>
  </w:style>
  <w:style w:type="character" w:customStyle="1" w:styleId="blk">
    <w:name w:val="blk"/>
    <w:basedOn w:val="a0"/>
    <w:rsid w:val="002F5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2021-12-10T12:10:00Z</dcterms:created>
  <dcterms:modified xsi:type="dcterms:W3CDTF">2021-12-10T12:16:00Z</dcterms:modified>
</cp:coreProperties>
</file>