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B7DEB" w:rsidRPr="00BB7DEB" w:rsidRDefault="00BB7DEB" w:rsidP="00BB7DEB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22272F"/>
          <w:sz w:val="34"/>
          <w:szCs w:val="34"/>
          <w:lang w:eastAsia="ru-RU"/>
        </w:rPr>
      </w:pPr>
      <w:r w:rsidRPr="00BB7DEB">
        <w:rPr>
          <w:rFonts w:ascii="Times New Roman" w:eastAsia="Times New Roman" w:hAnsi="Times New Roman" w:cs="Times New Roman"/>
          <w:color w:val="22272F"/>
          <w:sz w:val="34"/>
          <w:szCs w:val="34"/>
          <w:lang w:eastAsia="ru-RU"/>
        </w:rPr>
        <w:t xml:space="preserve">Письмо Федеральной антимонопольной службы от 22 декабря 2021 г. </w:t>
      </w:r>
      <w:r>
        <w:rPr>
          <w:rFonts w:ascii="Times New Roman" w:eastAsia="Times New Roman" w:hAnsi="Times New Roman" w:cs="Times New Roman"/>
          <w:color w:val="22272F"/>
          <w:sz w:val="34"/>
          <w:szCs w:val="34"/>
          <w:lang w:eastAsia="ru-RU"/>
        </w:rPr>
        <w:t>№</w:t>
      </w:r>
      <w:r w:rsidRPr="00BB7DEB">
        <w:rPr>
          <w:rFonts w:ascii="Times New Roman" w:eastAsia="Times New Roman" w:hAnsi="Times New Roman" w:cs="Times New Roman"/>
          <w:color w:val="22272F"/>
          <w:sz w:val="34"/>
          <w:szCs w:val="34"/>
          <w:lang w:eastAsia="ru-RU"/>
        </w:rPr>
        <w:t> ТН/109573/21</w:t>
      </w:r>
      <w:r w:rsidRPr="00BB7DEB">
        <w:rPr>
          <w:rFonts w:ascii="Times New Roman" w:eastAsia="Times New Roman" w:hAnsi="Times New Roman" w:cs="Times New Roman"/>
          <w:color w:val="22272F"/>
          <w:sz w:val="34"/>
          <w:szCs w:val="34"/>
          <w:lang w:eastAsia="ru-RU"/>
        </w:rPr>
        <w:br/>
        <w:t>"О формировании документации на закупку лекарственных препаратов с МНН "</w:t>
      </w:r>
      <w:proofErr w:type="spellStart"/>
      <w:r w:rsidRPr="00BB7DEB">
        <w:rPr>
          <w:rFonts w:ascii="Times New Roman" w:eastAsia="Times New Roman" w:hAnsi="Times New Roman" w:cs="Times New Roman"/>
          <w:color w:val="22272F"/>
          <w:sz w:val="34"/>
          <w:szCs w:val="34"/>
          <w:lang w:eastAsia="ru-RU"/>
        </w:rPr>
        <w:t>Этанерцепт</w:t>
      </w:r>
      <w:proofErr w:type="spellEnd"/>
      <w:r w:rsidRPr="00BB7DEB">
        <w:rPr>
          <w:rFonts w:ascii="Times New Roman" w:eastAsia="Times New Roman" w:hAnsi="Times New Roman" w:cs="Times New Roman"/>
          <w:color w:val="22272F"/>
          <w:sz w:val="34"/>
          <w:szCs w:val="34"/>
          <w:lang w:eastAsia="ru-RU"/>
        </w:rPr>
        <w:t>"</w:t>
      </w:r>
    </w:p>
    <w:p w:rsidR="00BB7DEB" w:rsidRPr="00BB7DEB" w:rsidRDefault="00BB7DEB" w:rsidP="00BB7DEB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</w:pPr>
      <w:r w:rsidRPr="00BB7DEB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 xml:space="preserve">Федеральная антимонопольная служба рассмотрела в рамках компетенции обращение ООО "ПСК </w:t>
      </w:r>
      <w:proofErr w:type="spellStart"/>
      <w:r w:rsidRPr="00BB7DEB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Фарма</w:t>
      </w:r>
      <w:proofErr w:type="spellEnd"/>
      <w:r w:rsidRPr="00BB7DEB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 xml:space="preserve">" от 18.10.2021 </w:t>
      </w:r>
      <w:r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№</w:t>
      </w:r>
      <w:r w:rsidRPr="00BB7DEB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 620 по вопросу формирования документации на закупку лекарственного препарата с МНН "</w:t>
      </w:r>
      <w:proofErr w:type="spellStart"/>
      <w:r w:rsidRPr="00BB7DEB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Этанерцепт</w:t>
      </w:r>
      <w:proofErr w:type="spellEnd"/>
      <w:r w:rsidRPr="00BB7DEB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" в лекарственной форме "раствор для подкожного введения" и "</w:t>
      </w:r>
      <w:proofErr w:type="spellStart"/>
      <w:r w:rsidRPr="00BB7DEB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лиофилизат</w:t>
      </w:r>
      <w:proofErr w:type="spellEnd"/>
      <w:r w:rsidRPr="00BB7DEB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 xml:space="preserve"> для приготовления раствора для подкожного введения" в </w:t>
      </w:r>
      <w:r w:rsidRPr="00BB7DEB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соответствии с Особенностями описания лекарственных препаратов для медицинского применения, являющихся объектом закупки для обеспечения государственных и муниципальных нужд, утвержденными постановлением Правительства Российской Федерации от 15.11.2017 № 1380 (далее - Постановление, Особенности описания лекарственных препаратов), и сообщает.</w:t>
      </w:r>
    </w:p>
    <w:p w:rsidR="00BB7DEB" w:rsidRPr="00BB7DEB" w:rsidRDefault="00BB7DEB" w:rsidP="00BB7DEB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</w:pPr>
      <w:r w:rsidRPr="00BB7DEB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 xml:space="preserve">В соответствии с пунктом 2 Особенностей описания лекарственных препаратов при описании в документации о закупке заказчики помимо международного непатентованного наименования (далее - МНН) лекарственного препарата (или при отсутствии таких наименований химического, </w:t>
      </w:r>
      <w:proofErr w:type="spellStart"/>
      <w:r w:rsidRPr="00BB7DEB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группировочного</w:t>
      </w:r>
      <w:proofErr w:type="spellEnd"/>
      <w:r w:rsidRPr="00BB7DEB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 xml:space="preserve"> наименования) указывают лекарственную форму препарата, включая в том числе эквивалентные лекарственные формы, дозировку лекарственного препарата с возможностью поставки лекарственного препарата в кратной дозировке и двойном количестве, а также с возможностью поставки лекарственного препарата в некратных эквивалентных дозировках, позволяющих достичь одинакового терапевтического эффекта, и остаточный срок годности лекарственного препарата, выраженный в единицах измерения времени.</w:t>
      </w:r>
    </w:p>
    <w:p w:rsidR="00BB7DEB" w:rsidRPr="00BB7DEB" w:rsidRDefault="00BB7DEB" w:rsidP="00BB7DEB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</w:pPr>
      <w:r w:rsidRPr="00BB7DEB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Согласно сведениям Государственного реестра лекарственных средств, ведение которого предусмотрено статьей 33 Федерального закона от 12.04.2010 № 61-ФЗ "Об обращении лекарственных средств" (далее - Реестр), на территории Российской Федерации в рамках МНН "</w:t>
      </w:r>
      <w:proofErr w:type="spellStart"/>
      <w:r w:rsidRPr="00BB7DEB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Этанерцепт</w:t>
      </w:r>
      <w:proofErr w:type="spellEnd"/>
      <w:r w:rsidRPr="00BB7DEB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" в лекарственной форме "раствор для подкожного введения" зарегистрировано 3 лекарственных препарата, а в лекарственной форме "</w:t>
      </w:r>
      <w:proofErr w:type="spellStart"/>
      <w:r w:rsidRPr="00BB7DEB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лиофилизат</w:t>
      </w:r>
      <w:proofErr w:type="spellEnd"/>
      <w:r w:rsidRPr="00BB7DEB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 xml:space="preserve"> для приготовления раствора для подкожного введения" зарегистрировано 2 лекарственных препарата.</w:t>
      </w:r>
    </w:p>
    <w:p w:rsidR="00BB7DEB" w:rsidRPr="00BB7DEB" w:rsidRDefault="00BB7DEB" w:rsidP="00BB7DEB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</w:pPr>
      <w:r w:rsidRPr="00BB7DEB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 xml:space="preserve">ФАС России обращает внимание, что </w:t>
      </w:r>
      <w:proofErr w:type="spellStart"/>
      <w:r w:rsidRPr="00BB7DEB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лиофилизаты</w:t>
      </w:r>
      <w:proofErr w:type="spellEnd"/>
      <w:r w:rsidRPr="00BB7DEB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 xml:space="preserve"> перед применением требуют предварительного разведения растворителем, соответственно, в организм человека вводится не </w:t>
      </w:r>
      <w:proofErr w:type="spellStart"/>
      <w:r w:rsidRPr="00BB7DEB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лиофилизат</w:t>
      </w:r>
      <w:proofErr w:type="spellEnd"/>
      <w:r w:rsidRPr="00BB7DEB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, а раствор. Таким образом, способ применения всех лекарственных препаратов в рамках МНН "</w:t>
      </w:r>
      <w:proofErr w:type="spellStart"/>
      <w:r w:rsidRPr="00BB7DEB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Этанерцепт</w:t>
      </w:r>
      <w:proofErr w:type="spellEnd"/>
      <w:r w:rsidRPr="00BB7DEB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" предполагает подкожное введение раствора.</w:t>
      </w:r>
    </w:p>
    <w:p w:rsidR="00BB7DEB" w:rsidRPr="00BB7DEB" w:rsidRDefault="00BB7DEB" w:rsidP="00BB7DEB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</w:pPr>
      <w:r w:rsidRPr="00BB7DEB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В соответствии с письмом ФГБУ "НЦЭСМП" Минздрава России от 12.11.2021 № 28465, направленным в ФАС России письмом Минздрава России от 15.11.2021 № 25-6/2621, в настоящее время с учетом информации по применению лекарственных препаратов с МНН "</w:t>
      </w:r>
      <w:proofErr w:type="spellStart"/>
      <w:r w:rsidRPr="00BB7DEB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Этанерцепт</w:t>
      </w:r>
      <w:proofErr w:type="spellEnd"/>
      <w:r w:rsidRPr="00BB7DEB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" в лекарственной форме "</w:t>
      </w:r>
      <w:proofErr w:type="spellStart"/>
      <w:r w:rsidRPr="00BB7DEB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лиофилизат</w:t>
      </w:r>
      <w:proofErr w:type="spellEnd"/>
      <w:r w:rsidRPr="00BB7DEB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 xml:space="preserve"> для приготовления раствора для подкожного введения", регламентируется их подкожное введение при приготовлении раствора в концентрации 25 мг/мл и 10 мг/мл. Лекарственная форма "раствор для подкожного введения" предполагает введение раствора в концентрации 50 мг/мл. В то время как лекарственная форма "раствор для подкожного введения" включает показания исключительно у взрослых, лекарственная форма "</w:t>
      </w:r>
      <w:proofErr w:type="spellStart"/>
      <w:r w:rsidRPr="00BB7DEB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лиофилизат</w:t>
      </w:r>
      <w:proofErr w:type="spellEnd"/>
      <w:r w:rsidRPr="00BB7DEB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 xml:space="preserve"> для приготовления раствора для подкожного введения" в дозировке 25 мг включает взрослых и детей, а дозировка 10 мг включает только детей. В связи с различиями в конечной концентрации растворов и отсутствии исследований, позволяющих оценить переносимость, эффективность и </w:t>
      </w:r>
      <w:proofErr w:type="spellStart"/>
      <w:r w:rsidRPr="00BB7DEB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фармакокинетику</w:t>
      </w:r>
      <w:proofErr w:type="spellEnd"/>
      <w:r w:rsidRPr="00BB7DEB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 xml:space="preserve"> применения у детей раствора в дозировке 50 мг/мл, его применение на этой популяции не признается приемлемым. При этом разные лекарственные формы лекарственного препарата с МНН "</w:t>
      </w:r>
      <w:proofErr w:type="spellStart"/>
      <w:r w:rsidRPr="00BB7DEB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Этанерцепт</w:t>
      </w:r>
      <w:proofErr w:type="spellEnd"/>
      <w:r w:rsidRPr="00BB7DEB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 xml:space="preserve">" не предполагают </w:t>
      </w:r>
      <w:r w:rsidRPr="00BB7DEB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lastRenderedPageBreak/>
        <w:t>применение препарата в одинаковой дозировке (концентрации) конечного раствора. С учетом различия показаний вывод о возможности применения препаратов в разных лекарственных формах на одной группе пациентов (в частности детях) не может быть сделан.</w:t>
      </w:r>
    </w:p>
    <w:p w:rsidR="00BB7DEB" w:rsidRPr="00BB7DEB" w:rsidRDefault="00BB7DEB" w:rsidP="00BB7DEB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</w:pPr>
      <w:r w:rsidRPr="00BB7DEB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На основании изложенного в рамках полномочий антимонопольного органа, установленных пунктом 5 части 2 статьи 23 Закона о защите конкуренции и пунктом 2 Постановления, с учетом позиции ФГБУ "НЦЭСМП" Минздрава России, а также в целях недопущения ограничения количества участников закупок, ФАС России приходит к выводу о необходимости выделения в отдельный лот лекарственных препаратов с МНН "</w:t>
      </w:r>
      <w:proofErr w:type="spellStart"/>
      <w:r w:rsidRPr="00BB7DEB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Этанерцепт</w:t>
      </w:r>
      <w:proofErr w:type="spellEnd"/>
      <w:r w:rsidRPr="00BB7DEB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" в лекарственной форме "</w:t>
      </w:r>
      <w:proofErr w:type="spellStart"/>
      <w:r w:rsidRPr="00BB7DEB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лиофилизат</w:t>
      </w:r>
      <w:proofErr w:type="spellEnd"/>
      <w:r w:rsidRPr="00BB7DEB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 xml:space="preserve"> для приготовления раствора для подкожного введения" для детей младше 12 лет и массой тела меньше 62,5 кг.</w:t>
      </w:r>
    </w:p>
    <w:p w:rsidR="00BB7DEB" w:rsidRPr="00BB7DEB" w:rsidRDefault="00BB7DEB" w:rsidP="00BB7DEB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</w:pPr>
      <w:r w:rsidRPr="00BB7DEB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ФАС России разъясняет недопустимость закупки лекарственных препаратов с МНН "</w:t>
      </w:r>
      <w:proofErr w:type="spellStart"/>
      <w:r w:rsidRPr="00BB7DEB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Этанерцепт</w:t>
      </w:r>
      <w:proofErr w:type="spellEnd"/>
      <w:r w:rsidRPr="00BB7DEB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" (по одним и тем же показаниям к применению, при одинаковом (подкожном) пути введения) в лекарственной форме "</w:t>
      </w:r>
      <w:proofErr w:type="spellStart"/>
      <w:r w:rsidRPr="00BB7DEB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лиофилизат</w:t>
      </w:r>
      <w:proofErr w:type="spellEnd"/>
      <w:r w:rsidRPr="00BB7DEB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 xml:space="preserve"> для приготовления раствора для подкожного введения" без указания возможности поставки лекарственных препаратов с эквивалентной лекарственной формой: "раствор для подкожного введения", за исключением закупки лекарственных препаратов для детей младше 12 лет и массой тела меньше</w:t>
      </w:r>
      <w:r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 xml:space="preserve"> </w:t>
      </w:r>
      <w:bookmarkStart w:id="0" w:name="_GoBack"/>
      <w:bookmarkEnd w:id="0"/>
      <w:r w:rsidRPr="00BB7DEB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62,5 кг.</w:t>
      </w:r>
    </w:p>
    <w:p w:rsidR="00BB7DEB" w:rsidRPr="00BB7DEB" w:rsidRDefault="00BB7DEB" w:rsidP="00BB7DEB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</w:pPr>
      <w:r w:rsidRPr="00BB7DEB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Приложение: на 3 л. в 1 экз.</w:t>
      </w:r>
    </w:p>
    <w:tbl>
      <w:tblPr>
        <w:tblW w:w="5000" w:type="pct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236"/>
        <w:gridCol w:w="3119"/>
      </w:tblGrid>
      <w:tr w:rsidR="00BB7DEB" w:rsidRPr="00BB7DEB" w:rsidTr="00BB7DEB">
        <w:tc>
          <w:tcPr>
            <w:tcW w:w="3300" w:type="pct"/>
            <w:shd w:val="clear" w:color="auto" w:fill="FFFFFF"/>
            <w:vAlign w:val="bottom"/>
            <w:hideMark/>
          </w:tcPr>
          <w:p w:rsidR="00BB7DEB" w:rsidRPr="00BB7DEB" w:rsidRDefault="00BB7DEB" w:rsidP="00BB7DE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 w:rsidRPr="00BB7DEB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 </w:t>
            </w:r>
          </w:p>
        </w:tc>
        <w:tc>
          <w:tcPr>
            <w:tcW w:w="1650" w:type="pct"/>
            <w:shd w:val="clear" w:color="auto" w:fill="FFFFFF"/>
            <w:vAlign w:val="bottom"/>
            <w:hideMark/>
          </w:tcPr>
          <w:p w:rsidR="00BB7DEB" w:rsidRPr="00BB7DEB" w:rsidRDefault="00BB7DEB" w:rsidP="00BB7DE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 w:rsidRPr="00BB7DEB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Т.В. Нижегородцев</w:t>
            </w:r>
          </w:p>
        </w:tc>
      </w:tr>
    </w:tbl>
    <w:p w:rsidR="00BB7DEB" w:rsidRPr="00BB7DEB" w:rsidRDefault="00BB7DEB" w:rsidP="00BB7DEB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</w:pPr>
      <w:r w:rsidRPr="00BB7DEB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 </w:t>
      </w:r>
    </w:p>
    <w:p w:rsidR="00DD6EC0" w:rsidRDefault="00DD6EC0"/>
    <w:sectPr w:rsidR="00DD6EC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B7DEB"/>
    <w:rsid w:val="00BB7DEB"/>
    <w:rsid w:val="00DD6E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8C87975-43BA-4006-AAF0-A8A8543B55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3">
    <w:name w:val="s_3"/>
    <w:basedOn w:val="a"/>
    <w:rsid w:val="00BB7DE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1">
    <w:name w:val="s_1"/>
    <w:basedOn w:val="a"/>
    <w:rsid w:val="00BB7DE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3">
    <w:name w:val="Hyperlink"/>
    <w:basedOn w:val="a0"/>
    <w:uiPriority w:val="99"/>
    <w:semiHidden/>
    <w:unhideWhenUsed/>
    <w:rsid w:val="00BB7DEB"/>
    <w:rPr>
      <w:color w:val="0000FF"/>
      <w:u w:val="single"/>
    </w:rPr>
  </w:style>
  <w:style w:type="paragraph" w:customStyle="1" w:styleId="empty">
    <w:name w:val="empty"/>
    <w:basedOn w:val="a"/>
    <w:rsid w:val="00BB7DE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24173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2</Pages>
  <Words>737</Words>
  <Characters>4206</Characters>
  <Application>Microsoft Office Word</Application>
  <DocSecurity>0</DocSecurity>
  <Lines>35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4934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Lenovo</cp:lastModifiedBy>
  <cp:revision>1</cp:revision>
  <dcterms:created xsi:type="dcterms:W3CDTF">2021-12-30T11:35:00Z</dcterms:created>
  <dcterms:modified xsi:type="dcterms:W3CDTF">2021-12-30T11:47:00Z</dcterms:modified>
</cp:coreProperties>
</file>