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A1426" w14:textId="6D9F7177" w:rsidR="00EF6A1E" w:rsidRPr="00EF6A1E" w:rsidRDefault="00EF6A1E" w:rsidP="00EF6A1E">
      <w:pPr>
        <w:ind w:firstLine="709"/>
        <w:contextualSpacing/>
        <w:jc w:val="center"/>
        <w:rPr>
          <w:rFonts w:ascii="Times New Roman" w:hAnsi="Times New Roman" w:cs="Times New Roman"/>
          <w:b/>
          <w:bCs/>
          <w:sz w:val="24"/>
          <w:szCs w:val="24"/>
        </w:rPr>
      </w:pPr>
      <w:r w:rsidRPr="00EF6A1E">
        <w:rPr>
          <w:rFonts w:ascii="Times New Roman" w:hAnsi="Times New Roman" w:cs="Times New Roman"/>
          <w:b/>
          <w:bCs/>
          <w:sz w:val="24"/>
          <w:szCs w:val="24"/>
        </w:rPr>
        <w:t>МИНИСТЕРСТВО ФИНАНСОВ РОССИЙСКОЙ ФЕДЕРАЦИИ</w:t>
      </w:r>
    </w:p>
    <w:p w14:paraId="3EC3E7C5" w14:textId="18D0C344" w:rsidR="00EF6A1E" w:rsidRPr="00EF6A1E" w:rsidRDefault="00EF6A1E" w:rsidP="00EF6A1E">
      <w:pPr>
        <w:ind w:firstLine="709"/>
        <w:contextualSpacing/>
        <w:jc w:val="center"/>
        <w:rPr>
          <w:rFonts w:ascii="Times New Roman" w:hAnsi="Times New Roman" w:cs="Times New Roman"/>
          <w:b/>
          <w:bCs/>
          <w:sz w:val="24"/>
          <w:szCs w:val="24"/>
        </w:rPr>
      </w:pPr>
    </w:p>
    <w:p w14:paraId="7C9F550B" w14:textId="1BDFC3E0" w:rsidR="00EF6A1E" w:rsidRPr="00EF6A1E" w:rsidRDefault="00EF6A1E" w:rsidP="00EF6A1E">
      <w:pPr>
        <w:ind w:firstLine="709"/>
        <w:contextualSpacing/>
        <w:jc w:val="center"/>
        <w:rPr>
          <w:rFonts w:ascii="Times New Roman" w:hAnsi="Times New Roman" w:cs="Times New Roman"/>
          <w:b/>
          <w:bCs/>
          <w:sz w:val="24"/>
          <w:szCs w:val="24"/>
        </w:rPr>
      </w:pPr>
      <w:r w:rsidRPr="00EF6A1E">
        <w:rPr>
          <w:rFonts w:ascii="Times New Roman" w:hAnsi="Times New Roman" w:cs="Times New Roman"/>
          <w:b/>
          <w:bCs/>
          <w:sz w:val="24"/>
          <w:szCs w:val="24"/>
        </w:rPr>
        <w:t>ПИСЬМО</w:t>
      </w:r>
    </w:p>
    <w:p w14:paraId="078E7718" w14:textId="08596BFC" w:rsidR="00EF6A1E" w:rsidRPr="00EF6A1E" w:rsidRDefault="00EF6A1E" w:rsidP="00EF6A1E">
      <w:pPr>
        <w:ind w:firstLine="709"/>
        <w:contextualSpacing/>
        <w:jc w:val="center"/>
        <w:rPr>
          <w:rFonts w:ascii="Times New Roman" w:hAnsi="Times New Roman" w:cs="Times New Roman"/>
          <w:b/>
          <w:bCs/>
          <w:sz w:val="24"/>
          <w:szCs w:val="24"/>
        </w:rPr>
      </w:pPr>
      <w:r w:rsidRPr="00EF6A1E">
        <w:rPr>
          <w:rFonts w:ascii="Times New Roman" w:hAnsi="Times New Roman" w:cs="Times New Roman"/>
          <w:b/>
          <w:bCs/>
          <w:sz w:val="24"/>
          <w:szCs w:val="24"/>
        </w:rPr>
        <w:t xml:space="preserve">от 20 апреля 2022 г. </w:t>
      </w:r>
      <w:r>
        <w:rPr>
          <w:rFonts w:ascii="Times New Roman" w:hAnsi="Times New Roman" w:cs="Times New Roman"/>
          <w:b/>
          <w:bCs/>
          <w:sz w:val="24"/>
          <w:szCs w:val="24"/>
        </w:rPr>
        <w:t>№</w:t>
      </w:r>
      <w:r w:rsidRPr="00EF6A1E">
        <w:rPr>
          <w:rFonts w:ascii="Times New Roman" w:hAnsi="Times New Roman" w:cs="Times New Roman"/>
          <w:b/>
          <w:bCs/>
          <w:sz w:val="24"/>
          <w:szCs w:val="24"/>
        </w:rPr>
        <w:t xml:space="preserve"> 03-07-11/</w:t>
      </w:r>
      <w:bookmarkStart w:id="0" w:name="_Hlk107827084"/>
      <w:r w:rsidRPr="00EF6A1E">
        <w:rPr>
          <w:rFonts w:ascii="Times New Roman" w:hAnsi="Times New Roman" w:cs="Times New Roman"/>
          <w:b/>
          <w:bCs/>
          <w:sz w:val="24"/>
          <w:szCs w:val="24"/>
        </w:rPr>
        <w:t>35425</w:t>
      </w:r>
      <w:bookmarkEnd w:id="0"/>
    </w:p>
    <w:p w14:paraId="7F7B7D00" w14:textId="39CB872E" w:rsidR="00EF6A1E" w:rsidRPr="00EF6A1E" w:rsidRDefault="00EF6A1E" w:rsidP="00EF6A1E">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EF6A1E">
        <w:rPr>
          <w:rFonts w:ascii="Times New Roman" w:eastAsia="Times New Roman" w:hAnsi="Times New Roman" w:cs="Times New Roman"/>
          <w:b/>
          <w:sz w:val="24"/>
          <w:szCs w:val="24"/>
          <w:lang w:eastAsia="ru-RU"/>
        </w:rPr>
        <w:t>О льготном кредитовании и предложениях по поддержке товаропроизводителей бутилированной воды в части применения ККТ, уплаты налогов, страховых взносов, закупок</w:t>
      </w:r>
      <w:r>
        <w:rPr>
          <w:rFonts w:ascii="Times New Roman" w:eastAsia="Times New Roman" w:hAnsi="Times New Roman" w:cs="Times New Roman"/>
          <w:b/>
          <w:sz w:val="24"/>
          <w:szCs w:val="24"/>
          <w:lang w:eastAsia="ru-RU"/>
        </w:rPr>
        <w:t>»</w:t>
      </w:r>
    </w:p>
    <w:p w14:paraId="3F776C6D" w14:textId="77777777" w:rsidR="00EF6A1E" w:rsidRPr="00EF6A1E" w:rsidRDefault="00EF6A1E" w:rsidP="00EF6A1E">
      <w:pPr>
        <w:ind w:firstLine="709"/>
        <w:contextualSpacing/>
        <w:jc w:val="both"/>
        <w:rPr>
          <w:rFonts w:ascii="Times New Roman" w:hAnsi="Times New Roman" w:cs="Times New Roman"/>
          <w:b/>
          <w:bCs/>
          <w:sz w:val="24"/>
          <w:szCs w:val="24"/>
        </w:rPr>
      </w:pPr>
    </w:p>
    <w:p w14:paraId="5AE713BE" w14:textId="500DB458"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  В связи с обращениями по вопросам поддержки товаропроизводителей бутилированной воды в текущей экономической ситуации сообщаем следующее. </w:t>
      </w:r>
    </w:p>
    <w:p w14:paraId="6DED361D" w14:textId="492A9B02" w:rsidR="00EF6A1E" w:rsidRPr="00654767"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О применении льготного кредитования для товаропроизводителей бутилированной воды</w:t>
      </w:r>
      <w:r w:rsidR="00654767" w:rsidRPr="00654767">
        <w:rPr>
          <w:rFonts w:ascii="Times New Roman" w:hAnsi="Times New Roman" w:cs="Times New Roman"/>
          <w:sz w:val="24"/>
          <w:szCs w:val="24"/>
        </w:rPr>
        <w:t>.</w:t>
      </w:r>
    </w:p>
    <w:p w14:paraId="4041EB6C"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Отношения по заключению договора между кредитной организацией и клиентом являются гражданско-правовыми и не предусматривают возможности административно-правового воздействия на юридически равноправные стороны этих отношений. </w:t>
      </w:r>
    </w:p>
    <w:p w14:paraId="3BF175DC" w14:textId="63EFF6F1"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Кроме того, в соответствии со статьей 9 Федерального закона от 2 декабря 1990 г. </w:t>
      </w:r>
      <w:r>
        <w:rPr>
          <w:rFonts w:ascii="Times New Roman" w:hAnsi="Times New Roman" w:cs="Times New Roman"/>
          <w:sz w:val="24"/>
          <w:szCs w:val="24"/>
        </w:rPr>
        <w:t>№</w:t>
      </w:r>
      <w:r w:rsidRPr="00EF6A1E">
        <w:rPr>
          <w:rFonts w:ascii="Times New Roman" w:hAnsi="Times New Roman" w:cs="Times New Roman"/>
          <w:sz w:val="24"/>
          <w:szCs w:val="24"/>
        </w:rPr>
        <w:t xml:space="preserve"> 395-1 "О банках и банковской деятельности" органы законодательной и исполнительной власти не вправе вмешиваться в деятельность кредитных организаций, за исключением случаев, предусмотренных федеральными законами. </w:t>
      </w:r>
    </w:p>
    <w:p w14:paraId="48C4B71B" w14:textId="0D700FBD"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Одновременно информируем, что в период до 30 сентября 2022 г. (с возможностью дальнейшего продления) предусмотрено</w:t>
      </w:r>
      <w:r>
        <w:rPr>
          <w:rFonts w:ascii="Times New Roman" w:hAnsi="Times New Roman" w:cs="Times New Roman"/>
          <w:sz w:val="24"/>
          <w:szCs w:val="24"/>
        </w:rPr>
        <w:t xml:space="preserve"> </w:t>
      </w:r>
      <w:r w:rsidRPr="00EF6A1E">
        <w:rPr>
          <w:rFonts w:ascii="Times New Roman" w:hAnsi="Times New Roman" w:cs="Times New Roman"/>
          <w:sz w:val="24"/>
          <w:szCs w:val="24"/>
        </w:rPr>
        <w:t xml:space="preserve">право физических лиц, индивидуальных предпринимателей и субъектов МСП обратиться к кредитору с требованием о предоставлении кредитных каникул, которые предусматривают приостановление исполнения заемщиком своих обязательств на срок, определенный заемщиком, но не превышающий шести месяцев по договорам кредита (займа), заключенным до 1 марта 2022 г.   </w:t>
      </w:r>
    </w:p>
    <w:p w14:paraId="3DB15961" w14:textId="6C647A2D"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в соответствии с пунктом 1 постановления Правительства Российской Федерации от 12.03.2022 </w:t>
      </w:r>
      <w:r>
        <w:rPr>
          <w:rFonts w:ascii="Times New Roman" w:hAnsi="Times New Roman" w:cs="Times New Roman"/>
          <w:sz w:val="24"/>
          <w:szCs w:val="24"/>
        </w:rPr>
        <w:t>№</w:t>
      </w:r>
      <w:r w:rsidRPr="00EF6A1E">
        <w:rPr>
          <w:rFonts w:ascii="Times New Roman" w:hAnsi="Times New Roman" w:cs="Times New Roman"/>
          <w:sz w:val="24"/>
          <w:szCs w:val="24"/>
        </w:rPr>
        <w:t xml:space="preserve"> 352 "Об установлении максимального размера кредита (займа) для кредитов (займов), по которому заемщик вправе обратиться с требованием к кредитору об изменении условий кредитного договора (договора займа), заключенного до 1 марта 2022 г., предусматривающим приостановление исполнения заемщиком своих обязательств на срок, определенный заемщиком" установлены максимальные размеры, по кредитам (займам) которых заемщик вправе обратиться к кредитору с требованием о предоставлении кредитных каникул. </w:t>
      </w:r>
    </w:p>
    <w:p w14:paraId="57BEBE85" w14:textId="79790DC4"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Дополнительно сообщаем, что законодательство допускает изменение кредитного договора по соглашению сторон. Кредитор рассматривает предложение заемщика, руководствуясь принципом свободы договора, установленным статьей 421 Гражданского кодекса Российской Федерации. </w:t>
      </w:r>
    </w:p>
    <w:p w14:paraId="4B9FDDD1" w14:textId="2CB4775A"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этой связи в целях приостановления исполнения заемщиком своих обязательств по кредитному договору в случае превышения максимальных лимитов по кредитам, указанных в Постановлении Правительства Российской Федерации от 12 марта 2022 г. </w:t>
      </w:r>
      <w:r>
        <w:rPr>
          <w:rFonts w:ascii="Times New Roman" w:hAnsi="Times New Roman" w:cs="Times New Roman"/>
          <w:sz w:val="24"/>
          <w:szCs w:val="24"/>
        </w:rPr>
        <w:t>№</w:t>
      </w:r>
      <w:r w:rsidRPr="00EF6A1E">
        <w:rPr>
          <w:rFonts w:ascii="Times New Roman" w:hAnsi="Times New Roman" w:cs="Times New Roman"/>
          <w:sz w:val="24"/>
          <w:szCs w:val="24"/>
        </w:rPr>
        <w:t xml:space="preserve"> 352, целесообразно обратиться непосредственно в кредитную организацию. </w:t>
      </w:r>
    </w:p>
    <w:p w14:paraId="4F0D6B2C" w14:textId="380B824B"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Дополнительно отмечаем, что в настоящее время Правительством Российской Федерации реализован комплекс мер государственной поддержки субъектов малого и среднего предпринимательства, связанных в том числе с предоставлением льготного кредитования. Более подробно о мерах государственной поддержки субъектов малого и среднего предпринимательства Вы можете ознакомиться на официальном сайте Правительства Российской Федерации</w:t>
      </w:r>
      <w:bookmarkStart w:id="1" w:name="_GoBack"/>
      <w:bookmarkEnd w:id="1"/>
      <w:r w:rsidRPr="00EF6A1E">
        <w:rPr>
          <w:rFonts w:ascii="Times New Roman" w:hAnsi="Times New Roman" w:cs="Times New Roman"/>
          <w:sz w:val="24"/>
          <w:szCs w:val="24"/>
        </w:rPr>
        <w:t xml:space="preserve">. </w:t>
      </w:r>
    </w:p>
    <w:p w14:paraId="50D5656E" w14:textId="65220FA4"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lastRenderedPageBreak/>
        <w:t xml:space="preserve">О внесении изменения в Федеральный закон от 22.05.2003 </w:t>
      </w:r>
      <w:r>
        <w:rPr>
          <w:rFonts w:ascii="Times New Roman" w:hAnsi="Times New Roman" w:cs="Times New Roman"/>
          <w:sz w:val="24"/>
          <w:szCs w:val="24"/>
        </w:rPr>
        <w:t>№</w:t>
      </w:r>
      <w:r w:rsidRPr="00EF6A1E">
        <w:rPr>
          <w:rFonts w:ascii="Times New Roman" w:hAnsi="Times New Roman" w:cs="Times New Roman"/>
          <w:sz w:val="24"/>
          <w:szCs w:val="24"/>
        </w:rPr>
        <w:t xml:space="preserve"> 54-ФЗ "О применении контрольно-кассовой техники при осуществлении расчетов в Российской Федерации" (далее - Федеральный закон </w:t>
      </w:r>
      <w:r>
        <w:rPr>
          <w:rFonts w:ascii="Times New Roman" w:hAnsi="Times New Roman" w:cs="Times New Roman"/>
          <w:sz w:val="24"/>
          <w:szCs w:val="24"/>
        </w:rPr>
        <w:t>№</w:t>
      </w:r>
      <w:r w:rsidRPr="00EF6A1E">
        <w:rPr>
          <w:rFonts w:ascii="Times New Roman" w:hAnsi="Times New Roman" w:cs="Times New Roman"/>
          <w:sz w:val="24"/>
          <w:szCs w:val="24"/>
        </w:rPr>
        <w:t xml:space="preserve"> 54-ФЗ) </w:t>
      </w:r>
    </w:p>
    <w:p w14:paraId="25A0FCC3" w14:textId="63386B41"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1. В соответствии с пунктом 1 статьи 1.2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установленных Федеральным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54-ФЗ случаев. </w:t>
      </w:r>
    </w:p>
    <w:p w14:paraId="2C0D897A" w14:textId="352C9695"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разработке положений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ФСБ России совместно с ФНС России была определена модель угроз нового порядка применения контрольно-кассовой техники, предусматривающая применение криптографических средств защиты фискальных данных в зависимости от субъекта предпринимательской деятельности. </w:t>
      </w:r>
    </w:p>
    <w:p w14:paraId="1E5FCF7C"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Модель функционирования контрольно-кассовой техники в такой системе выглядит следующим образом: в момент совершения расчета фискальный признак формируется фискальным накопителем - средством криптографической защиты фискальных данных в контрольно-кассовой технике, автоматически проверяется у оператора фискальных данных и хранится в некорректируемом виде в контрольно-кассовой технике и у оператора фискальных данных. Сведения поступают в ФНС России и хранятся в защищенном контуре. </w:t>
      </w:r>
    </w:p>
    <w:p w14:paraId="5CA78A6F"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Сроки действия ключей фискального признака фискальных накопителей ограничены изготовителями фискальных накопителей исходя из указанной модели угроз и требований к средствам криптографической защиты информации в зависимости от субъекта предпринимательской деятельности. </w:t>
      </w:r>
    </w:p>
    <w:p w14:paraId="22769B9E"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Следует отметить, что направление в режиме реального времени фискальных данных в виде фискальных документов, сформированных с применением контрольно-кассовой техники, в адрес налоговых органов способствует в том числе созданию современной автоматизированной системы полного учета выручки и контроля за применением контрольно-кассовой техники, а также повышению уровня защищенности прав потребителей товаров и услуг, упрощая возможность реализации права на удовлетворение своих требований в соответствии с законодательством о защите прав потребителей, а также вовлечению потребителей товаров и услуг в гражданский контроль за счет проверки легальности кассового чека через бесплатное мобильное приложение, с помощью которого в случае возникновения вопросов можно направить жалобу в ФНС России. </w:t>
      </w:r>
    </w:p>
    <w:p w14:paraId="3B3CC754"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Фиксация расчетов без применения контрольно-кассовой техники с фискальным накопителем может привести к недостоверному предоставлению информации о расчетах и, как следствие, к невозможности реализации мер обеспечения полноты учета выручки. </w:t>
      </w:r>
    </w:p>
    <w:p w14:paraId="25B7AD92" w14:textId="12BD818C"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2. Согласно пункту 1 статьи 4.3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контрольно-кассовая техника после ее регистрации в налоговом органе применяется на месте осуществления расчета с покупателем (клиентом) в момент осуществления расчета тем же лицом, которое осуществляет расчеты с покупателем (клиентом), за исключением случаев, предусмотренных Федеральным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54-ФЗ. </w:t>
      </w:r>
    </w:p>
    <w:p w14:paraId="128A7B88" w14:textId="57560FB4"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частности, в соответствии с пунктом 5.6 статьи 1.2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t>
      </w:r>
    </w:p>
    <w:p w14:paraId="65B1BA70" w14:textId="2DFFDD0E"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lastRenderedPageBreak/>
        <w:t xml:space="preserve">1) 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пункте 5.1 статьи 1.2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w:t>
      </w:r>
    </w:p>
    <w:p w14:paraId="6E4A5711"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2) 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 </w:t>
      </w:r>
    </w:p>
    <w:p w14:paraId="34FB1519" w14:textId="0E30496E"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3) при осуществлении расчетов в случаях, предусмотренных пунктами 5.8 - 5.10 статьи 1.2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w:t>
      </w:r>
    </w:p>
    <w:p w14:paraId="1F65258B"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при осуществлении расчетов курьером за реализуемый товар при дистанционном способе его продажи и за доставку такого товара допускается применение контрольно-кассовой техники, расположенной вне места совершения расчетов. </w:t>
      </w:r>
    </w:p>
    <w:p w14:paraId="065E0796" w14:textId="09AB47EF"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Дополнительно сообщаем, что положениями пунктов 2, 3 и 5.7 статьи 1.2 Федерального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54-ФЗ предусмотрены различные способы исполнения пользователем обязанности по выдаче (направлению) покупателю (клиенту) кассового чека (бланка строгой отчетности), в том числе путем направления кассового чека (бланка строгой отчетности) в электронной форме на абонентский номер либо адрес электронной почты покупателя (клиента). </w:t>
      </w:r>
    </w:p>
    <w:p w14:paraId="6055C0E9"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Учитывая изложенное, внесение изменений в законодательство Российской Федерации о применении контрольно-кассовой техники в части предоставления возможности применять одну контрольно-кассовую технику вне места расчета не требуется. </w:t>
      </w:r>
    </w:p>
    <w:p w14:paraId="54D6860E"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Об установлении пониженных тарифов страховых взносов в совокупном размере 10 - 12 процентов для организаций, осуществляющих производство и реализацию бутилированной воды </w:t>
      </w:r>
    </w:p>
    <w:p w14:paraId="44E1B801"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w:t>
      </w:r>
    </w:p>
    <w:p w14:paraId="225CCDF0"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законодательством Российской Федерации устанавливается определенный уровень страховых гарантий застрахованным лицам, обеспечиваемый за счет поступлений страховых взносов в бюджеты государственных внебюджетных фондов. </w:t>
      </w:r>
    </w:p>
    <w:p w14:paraId="5D554647" w14:textId="32DA12C9"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Подпунктом 17 пункта 1 и пунктом 2.1 статьи 427 Налогового кодекса Российской Федерации для плательщиков страховых взносов, признаваемых субъектами малого и среднего предпринимательства (далее - субъекты МСП) в соответствии с Федеральным законом от 24 июля 2007 г. </w:t>
      </w:r>
      <w:r>
        <w:rPr>
          <w:rFonts w:ascii="Times New Roman" w:hAnsi="Times New Roman" w:cs="Times New Roman"/>
          <w:sz w:val="24"/>
          <w:szCs w:val="24"/>
        </w:rPr>
        <w:t>№</w:t>
      </w:r>
      <w:r w:rsidRPr="00EF6A1E">
        <w:rPr>
          <w:rFonts w:ascii="Times New Roman" w:hAnsi="Times New Roman" w:cs="Times New Roman"/>
          <w:sz w:val="24"/>
          <w:szCs w:val="24"/>
        </w:rPr>
        <w:t xml:space="preserve"> 209-ФЗ "О развитии малого и среднего предпринимательства в Российской Федерации", независимо от вида осуществляемой экономической деятельности и применяемого налогового режима установлены на бессрочный период пониженные тарифы страховых взносов в совокупном размере 15%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w:t>
      </w:r>
    </w:p>
    <w:p w14:paraId="2B7606AF"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lastRenderedPageBreak/>
        <w:t xml:space="preserve">Таким образом, в случае если организации, осуществляющие производство и реализацию бутилированной воды, признаются субъектами МСП, то они вправе применять вышеупомянутые пониженные тарифы страховых взносов. </w:t>
      </w:r>
    </w:p>
    <w:p w14:paraId="69EB28D6" w14:textId="31CEE99E"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согласно статье 20 Федерального закона от 16 июля 1999 г. </w:t>
      </w:r>
      <w:r>
        <w:rPr>
          <w:rFonts w:ascii="Times New Roman" w:hAnsi="Times New Roman" w:cs="Times New Roman"/>
          <w:sz w:val="24"/>
          <w:szCs w:val="24"/>
        </w:rPr>
        <w:t>№</w:t>
      </w:r>
      <w:r w:rsidRPr="00EF6A1E">
        <w:rPr>
          <w:rFonts w:ascii="Times New Roman" w:hAnsi="Times New Roman" w:cs="Times New Roman"/>
          <w:sz w:val="24"/>
          <w:szCs w:val="24"/>
        </w:rPr>
        <w:t xml:space="preserve"> 165-ФЗ "Об основах обязательного социального страхования" выпадающие доходы бюджетов государственных внебюджетных фондов в связи с применением плательщиками пониженных тарифов страховых взносов компенсируются за счет межбюджетных трансфертов, предоставляемых из федерального бюджета бюджетам государственных внебюджетных фондов. </w:t>
      </w:r>
    </w:p>
    <w:p w14:paraId="7D8A7B98"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Дополнительные меры государственной поддержки не должны более затрагивать систему обязательного социального страхования, поскольку вопрос о предоставлении тех или иных мер поддержки в части уплаты страховых взносов должен рассматриваться в увязке с соблюдением прав застрахованных лиц в системе обязательного социального страхования и источниками финансирования доходов бюджетов государственных внебюджетных фондов, за счет средств которых должны обеспечиваться государственные социальные гарантии граждан. </w:t>
      </w:r>
    </w:p>
    <w:p w14:paraId="44B47EF7"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учитывая, что в сегодняшней ситуации внешнего санкционного давления расходы на социальные обязательства государства возрастают, а увеличение мер поддержки хозяйствующих субъектов приведет к снижению поступлений сумм страховых взносов в бюджеты государственных внебюджетных фондов, предложение об установлении для организаций, осуществляющих производство и реализацию бутилированной воды, пониженных тарифов страховых взносов в совокупном размере 10 - 12 процентов не поддерживается. </w:t>
      </w:r>
    </w:p>
    <w:p w14:paraId="5B77903D"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 снижении налоговой ставки по налогу на доходы физических лиц </w:t>
      </w:r>
    </w:p>
    <w:p w14:paraId="14E54B14" w14:textId="4444BA46"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соответствии с нормами главы 23 "Налог на доходы физических лиц" Налогового кодекса Российской Федерации плательщиками налога на доходы физических лиц являются физические лица. </w:t>
      </w:r>
    </w:p>
    <w:p w14:paraId="3B7E0CB7"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отношении большинства видов доходов физических лиц установлена единая налоговая ставка по налогу на доходы физических лиц в размере 13 процентов. Пониженных налоговых ставок не предусмотрено. </w:t>
      </w:r>
    </w:p>
    <w:p w14:paraId="6DBAA923" w14:textId="2D748B59"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Организации и индивидуальные предприниматели, в соответствии с Налоговым кодексом Российской Федерации, выполняют функции налоговых агентов по налогу на доходы физических лиц при выплате заработной платы работникам (персоналу). </w:t>
      </w:r>
    </w:p>
    <w:p w14:paraId="2CF789B2"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случае реализации предложения о снижении налоговой ставки по налогу на доходы физических лиц для физических лиц необходимо учитывать, что суммы налога на доходы физических лиц в основном поступают в бюджеты субъектов Российской Федерации и местные бюджеты, из которых, в частности, финансируются программы социальной поддержки. </w:t>
      </w:r>
    </w:p>
    <w:p w14:paraId="2F6A2D62"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адресная социальная поддержка, в отличие от налоговых инструментов, позволяет более адресно учитывать критерии нуждаемости. </w:t>
      </w:r>
    </w:p>
    <w:p w14:paraId="175BD987"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этой связи указанное предложение не поддерживается. </w:t>
      </w:r>
    </w:p>
    <w:p w14:paraId="39B4CA1D"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 снижении ставки налога на добавленную стоимость (далее - НДС) до 10 процентов для природных питьевых вод и природных минеральных лечебных вод </w:t>
      </w:r>
    </w:p>
    <w:p w14:paraId="67BA8B9B"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Принятие указанного предложения приведет к выпадающим доходам федерального бюджета. </w:t>
      </w:r>
    </w:p>
    <w:p w14:paraId="7A8AA7AD"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Кроме того, установление налоговой ставки НДС в размере 10 процентов в отношении природных питьевых и природных минеральных лечебных вод создаст прецедент для постановки аналогичных вопросов в отношении других продовольственных </w:t>
      </w:r>
      <w:r w:rsidRPr="00EF6A1E">
        <w:rPr>
          <w:rFonts w:ascii="Times New Roman" w:hAnsi="Times New Roman" w:cs="Times New Roman"/>
          <w:sz w:val="24"/>
          <w:szCs w:val="24"/>
        </w:rPr>
        <w:lastRenderedPageBreak/>
        <w:t xml:space="preserve">товаров, операции по реализации которых в настоящее время подлежат налогообложению с применением налоговой ставки НДС в размере 20 процентов, что увеличит потери федерального бюджета и ограничит возможности финансирования расходных обязательств государства, в том числе в социальной сфере. При этом снижение ставки НДС не является прозрачной мерой государственной поддержки, обеспечивающей целевое использование средств, и не гарантирует снижение цен на товары (работы, услуги) для конечных потребителей, поскольку в условиях рыночных отношений ценообразование зависит в основном от складывающегося соотношения спроса и предложения, а также от маркетинговой политики и платежеспособности потребителей. </w:t>
      </w:r>
    </w:p>
    <w:p w14:paraId="344F870B"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Принимая во внимание, что в настоящее время НДС является важнейшим источником формирования доходов федерального бюджета (его поступления составляют более трети от общего объема доходов федерального бюджета), уменьшение поступлений этого налога приведет к ограничению возможностей финансирования расходных обязательств государства, в том числе в социальной сфере. </w:t>
      </w:r>
    </w:p>
    <w:p w14:paraId="69FC79C0"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Следует также учитывать, что при ввозе товаров в Российскую Федерацию применяются те же размеры налоговых ставок НДС, что и при реализации товаров на территории Российской Федерации. В связи с этим установление налоговой ставки НДС в размере 10 процентов в отношении операций по реализации природных питьевых и природных минеральных лечебных вод не окажет влияния на конкурентоспособность отечественных производителей данной продукции. </w:t>
      </w:r>
    </w:p>
    <w:p w14:paraId="15D7A2E7"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Учитывая изложенное, предложение об установлении ставки НДС в размере 10 процентов в отношении природных питьевых и природных минеральных лечебных вод не поддерживается. </w:t>
      </w:r>
    </w:p>
    <w:p w14:paraId="0C913DD4" w14:textId="12B4501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 внесении изменений в положения Федерального закона от 5 апреля 2013 г. </w:t>
      </w:r>
      <w:r>
        <w:rPr>
          <w:rFonts w:ascii="Times New Roman" w:hAnsi="Times New Roman" w:cs="Times New Roman"/>
          <w:sz w:val="24"/>
          <w:szCs w:val="24"/>
        </w:rPr>
        <w:t>№</w:t>
      </w:r>
      <w:r w:rsidRPr="00EF6A1E">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F6A1E">
        <w:rPr>
          <w:rFonts w:ascii="Times New Roman" w:hAnsi="Times New Roman" w:cs="Times New Roman"/>
          <w:sz w:val="24"/>
          <w:szCs w:val="24"/>
        </w:rPr>
        <w:t xml:space="preserve"> 44-ФЗ) и Федерального закона от 18 июля 2011 г. </w:t>
      </w:r>
      <w:r>
        <w:rPr>
          <w:rFonts w:ascii="Times New Roman" w:hAnsi="Times New Roman" w:cs="Times New Roman"/>
          <w:sz w:val="24"/>
          <w:szCs w:val="24"/>
        </w:rPr>
        <w:t>№</w:t>
      </w:r>
      <w:r w:rsidRPr="00EF6A1E">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EF6A1E">
        <w:rPr>
          <w:rFonts w:ascii="Times New Roman" w:hAnsi="Times New Roman" w:cs="Times New Roman"/>
          <w:sz w:val="24"/>
          <w:szCs w:val="24"/>
        </w:rPr>
        <w:t xml:space="preserve"> 223-ФЗ) в части увеличения цены товара, пересмотра оснований для внесения в реестр недобросовестных поставщиков (подрядчиков, исполнителей), отмены штрафов </w:t>
      </w:r>
    </w:p>
    <w:p w14:paraId="3AFDB38D" w14:textId="029B106F"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целях нивелирования последствий ограничительных мер в отношении Российской Федерации и оказания мер поддержки заказчикам и участникам закупок товаров, работ, услуг для обеспечения государственных и муниципальных нужд в условиях текущей экономической ситуации, характеризующейся в том числе введением санкций со стороны недружественных иностранных государств, Федеральным законом от 8 марта 2022 г. </w:t>
      </w:r>
      <w:r>
        <w:rPr>
          <w:rFonts w:ascii="Times New Roman" w:hAnsi="Times New Roman" w:cs="Times New Roman"/>
          <w:sz w:val="24"/>
          <w:szCs w:val="24"/>
        </w:rPr>
        <w:t>№</w:t>
      </w:r>
      <w:r w:rsidRPr="00EF6A1E">
        <w:rPr>
          <w:rFonts w:ascii="Times New Roman" w:hAnsi="Times New Roman" w:cs="Times New Roman"/>
          <w:sz w:val="24"/>
          <w:szCs w:val="24"/>
        </w:rPr>
        <w:t xml:space="preserve"> 46-ФЗ "О внесении изменений в отдельные законодательные акты Российской Федерации" внесены изменения в Закон </w:t>
      </w:r>
      <w:r>
        <w:rPr>
          <w:rFonts w:ascii="Times New Roman" w:hAnsi="Times New Roman" w:cs="Times New Roman"/>
          <w:sz w:val="24"/>
          <w:szCs w:val="24"/>
        </w:rPr>
        <w:t>№</w:t>
      </w:r>
      <w:r w:rsidRPr="00EF6A1E">
        <w:rPr>
          <w:rFonts w:ascii="Times New Roman" w:hAnsi="Times New Roman" w:cs="Times New Roman"/>
          <w:sz w:val="24"/>
          <w:szCs w:val="24"/>
        </w:rPr>
        <w:t xml:space="preserve"> 44-ФЗ, в том числе предусматривающие: </w:t>
      </w:r>
    </w:p>
    <w:p w14:paraId="31DDF147" w14:textId="44E747D2"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установление возможности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изменения любых существенных условий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(часть 65.1 статьи 112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44-ФЗ); </w:t>
      </w:r>
    </w:p>
    <w:p w14:paraId="2A7E0E74" w14:textId="6102E50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наделение Правительства Российской Федерации правом устанавливать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w:t>
      </w:r>
      <w:r w:rsidRPr="00EF6A1E">
        <w:rPr>
          <w:rFonts w:ascii="Times New Roman" w:hAnsi="Times New Roman" w:cs="Times New Roman"/>
          <w:sz w:val="24"/>
          <w:szCs w:val="24"/>
        </w:rPr>
        <w:lastRenderedPageBreak/>
        <w:t xml:space="preserve">исполнением обязательств, предусмотренных контрактом (часть 9.1 статьи 34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44-ФЗ). </w:t>
      </w:r>
    </w:p>
    <w:p w14:paraId="40FD53EE" w14:textId="7F45E43C"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реализацию вышеуказанного полномочия, предусмотренного частью 9.1 статьи 34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44-ФЗ, Правительством Российской Федерации были внесены изменения в Правила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Правительства Российской Федерации от 4 июля 2018 г. </w:t>
      </w:r>
      <w:r>
        <w:rPr>
          <w:rFonts w:ascii="Times New Roman" w:hAnsi="Times New Roman" w:cs="Times New Roman"/>
          <w:sz w:val="24"/>
          <w:szCs w:val="24"/>
        </w:rPr>
        <w:t>№</w:t>
      </w:r>
      <w:r w:rsidRPr="00EF6A1E">
        <w:rPr>
          <w:rFonts w:ascii="Times New Roman" w:hAnsi="Times New Roman" w:cs="Times New Roman"/>
          <w:sz w:val="24"/>
          <w:szCs w:val="24"/>
        </w:rPr>
        <w:t xml:space="preserve"> 783 (далее - Правила). </w:t>
      </w:r>
    </w:p>
    <w:p w14:paraId="5189987E" w14:textId="0D3D75F5"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Согласно пункту 2 Правил списание начисленных и неуплаченных сумм неустоек (штрафов, пеней) осуществляется по контрактам, обязательства по которым исполнены в полном объеме, а также по контрактам, обязательства по которым не были исполнены в полном объеме, в случаях, установленных данным пунктом. </w:t>
      </w:r>
    </w:p>
    <w:p w14:paraId="26ABFB1B" w14:textId="5755AA00"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Подпунктами "а" и "б" пункта 3 Правил установлено, что списание начисленных и неуплаченных сумм неустоек (штрафов, пеней) осуществляется заказчиком в следующих случае и порядке соответственно: </w:t>
      </w:r>
    </w:p>
    <w:p w14:paraId="2ECD12C7" w14:textId="18F3CB0D"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если общая сумма начисленных и неуплаченных неустоек (штрафов, пеней) не превышает 5 процентов цены контракта, заказчик осуществляет списание начисленных и неуплаченных сумм неустоек (штрафов, пеней), за исключением случаев, предусмотренных подпунктами "в" - "д" пункта 3 Правил; </w:t>
      </w:r>
    </w:p>
    <w:p w14:paraId="0C561937" w14:textId="15B6941A"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если общая сумма начисленных и неуплаченных неустоек (штрафов, пеней) превышает 5 процентов цены контракта, но составляет не более 20 процентов цены контракта, заказчик осуществляет списание 50 процентов начисленных и неуплаченных сумм неустоек (штрафов, пеней) при условии уплаты 50 процентов начисленных и неуплаченных сумм неустоек (штрафов, пеней), за исключением случаев, предусмотренных подпунктами "в" - "д" пункта 3 Правил. </w:t>
      </w:r>
    </w:p>
    <w:p w14:paraId="5E11F9F1" w14:textId="16C9407E"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Кроме того, в соответствии с подпунктом "д" пункта 3 Правил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независящих от него обстоятельств, повлекших невозможность исполнения контракта в связи с введением санкций и (или) мер ограничительного характера, заказчик осуществляет списание начисленных и неуплаченных сумм неустоек (штрафов, пеней). </w:t>
      </w:r>
    </w:p>
    <w:p w14:paraId="72AE7DC5" w14:textId="72AEFBA6"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в соответствии с Правилами списание начисленных и неуплаченных сумм неустоек (штрафов, пеней) осуществляется по любым контрактам, обязательства по которым исполнены в полном объеме, с учетом положений подпунктов "а" и "б" пункта 3 Правил, а также по контрактам, обязательства по которым не были исполнены в полном объеме в случаях, установленных пунктом 2 Правил. </w:t>
      </w:r>
    </w:p>
    <w:p w14:paraId="2B1BEBFF"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Также отмечаем, что в случае неисполнения или ненадлежащего исполнения поставщиком (подрядчиком, исполнителем) обязательств, предусмотренных контрактом, заказчик вправе расторгнуть контракт путем принятия решения об одностороннем отказе от исполнения контракта. </w:t>
      </w:r>
    </w:p>
    <w:p w14:paraId="6939722C" w14:textId="58CF9D4C"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указанном случае заказчик, в соответствии с частью 16 статьи 95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44-ФЗ, направляет в федеральный орган исполнительной власти, уполномоченный на осуществление контроля в сфере закупок (ФАС России), обращение о включении информации о поставщике (подрядчике, исполнителе) в реестр недобросовестных поставщиков (подрядчиков, исполнителей) (далее соответственно - Реестр, уполномоченный орган). </w:t>
      </w:r>
    </w:p>
    <w:p w14:paraId="5BDDE856" w14:textId="3388FD0F"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lastRenderedPageBreak/>
        <w:t xml:space="preserve">Правилами ведения реестра недобросовестных поставщиков (подрядчиков, исполнителей), утвержденными постановлением Правительства Российской Федерации от 30 июня 2021 г. </w:t>
      </w:r>
      <w:r>
        <w:rPr>
          <w:rFonts w:ascii="Times New Roman" w:hAnsi="Times New Roman" w:cs="Times New Roman"/>
          <w:sz w:val="24"/>
          <w:szCs w:val="24"/>
        </w:rPr>
        <w:t>№</w:t>
      </w:r>
      <w:r w:rsidRPr="00EF6A1E">
        <w:rPr>
          <w:rFonts w:ascii="Times New Roman" w:hAnsi="Times New Roman" w:cs="Times New Roman"/>
          <w:sz w:val="24"/>
          <w:szCs w:val="24"/>
        </w:rPr>
        <w:t xml:space="preserve"> 1078 (далее - Правила), предусмотрено, что при рассмотрении указанного обращения проводится проверка содержащихся в обращении фактов, свидетельствующих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а также внеплановая проверка закупки. </w:t>
      </w:r>
    </w:p>
    <w:p w14:paraId="6B2709B9"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включение информации в Реестр не носит автоматического характера, а осуществляется по результатам рассмотрения на коллегиальной основе на заседании комиссии уполномоченного органа обращения заказчика и проверки содержащихся в нем фактов. </w:t>
      </w:r>
    </w:p>
    <w:p w14:paraId="53AD0048" w14:textId="4C406836"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Согласно подпункту "а" пункта 13 Правил поставщик (подрядчик, исполнитель) вправе участвовать в заседании комиссии уполномоченного органа, предоставлять информацию, документы, объяснения в письменной и устной форме, подтверждающие отсутствие фактов его недобросовестности при исполнении контракта. </w:t>
      </w:r>
    </w:p>
    <w:p w14:paraId="2EF0B096"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Если по результатам рассмотрения обращения заказчика будет установлено, что надлежащее исполнение поставщиком (подрядчиком, исполнителем) контракта оказалось невозможным вследствие обстоятельств непреодолимой силы, информация о таком поставщике (подрядчике, исполнителе) не подлежит включению в Реестр. </w:t>
      </w:r>
    </w:p>
    <w:p w14:paraId="62B32994" w14:textId="7485C779"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частности, в соответствии с подпунктом "в" пункта 15 Правил к таким обстоятельствам непреодолимой силы относится введение: </w:t>
      </w:r>
    </w:p>
    <w:p w14:paraId="0E4F10B9"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w:t>
      </w:r>
    </w:p>
    <w:p w14:paraId="0A4149A6"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 </w:t>
      </w:r>
    </w:p>
    <w:p w14:paraId="05B320E0"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Следовательно, невозможность исполнения поставщиком (подрядчиком, исполнителем) контракта, возникшая вследствие введения вышеуказанных санкций и мер ограничительного характера (далее - санкции) (например, в отношении закупаемого товара, работы, услуги, являющихся объектом закупки, материалов и оборудования, необходимых для поставки и (или) производства таких товаров, выполнения таких работ, оказания таких услуг), является обстоятельством для отказа во включении информации о таком поставщике (подрядчике, исполнителе) в Реестр. </w:t>
      </w:r>
    </w:p>
    <w:p w14:paraId="4400F45C"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Следует отметить, что к вышеуказанным обстоятельствам не относится отказ поставщика (подрядчика, исполнителя) от исполнения контракта по причине введения санкций в отношении заказчика. </w:t>
      </w:r>
    </w:p>
    <w:p w14:paraId="73AB5618"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если введение санкций повлекло невозможность исполнения поставщиком (подрядчиком, исполнителем) контракта и, как следствие, расторжение с ним контракта и направление заказчиком в уполномоченный орган обращения о включении информации в Реестр, представляется целесообразным такому поставщику (подрядчику, исполнителю) с целью обеспечения защиты своих прав и законных интересов принять участие в заседании комиссии уполномоченного органа с предоставлением информации и документов, подтверждающих, что исполнение контракта оказалось невозможным в связи с введением санкций. </w:t>
      </w:r>
    </w:p>
    <w:p w14:paraId="0F12CD69" w14:textId="4494B68D"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По вопросу об отмене предоставления обеспечения исполнения контракта, обеспечения исполнения гарантийных обязательств сообщаем, что Федеральным законом </w:t>
      </w:r>
      <w:r w:rsidRPr="00EF6A1E">
        <w:rPr>
          <w:rFonts w:ascii="Times New Roman" w:hAnsi="Times New Roman" w:cs="Times New Roman"/>
          <w:sz w:val="24"/>
          <w:szCs w:val="24"/>
        </w:rPr>
        <w:lastRenderedPageBreak/>
        <w:t xml:space="preserve">от 16 апреля 2022 г. </w:t>
      </w:r>
      <w:r>
        <w:rPr>
          <w:rFonts w:ascii="Times New Roman" w:hAnsi="Times New Roman" w:cs="Times New Roman"/>
          <w:sz w:val="24"/>
          <w:szCs w:val="24"/>
        </w:rPr>
        <w:t>№</w:t>
      </w:r>
      <w:r w:rsidRPr="00EF6A1E">
        <w:rPr>
          <w:rFonts w:ascii="Times New Roman" w:hAnsi="Times New Roman" w:cs="Times New Roman"/>
          <w:sz w:val="24"/>
          <w:szCs w:val="24"/>
        </w:rPr>
        <w:t xml:space="preserve"> 104-ФЗ "О внесении изменений в отдельные законодательные акты Российской Федерации" (далее - Закон </w:t>
      </w:r>
      <w:r>
        <w:rPr>
          <w:rFonts w:ascii="Times New Roman" w:hAnsi="Times New Roman" w:cs="Times New Roman"/>
          <w:sz w:val="24"/>
          <w:szCs w:val="24"/>
        </w:rPr>
        <w:t>№</w:t>
      </w:r>
      <w:r w:rsidRPr="00EF6A1E">
        <w:rPr>
          <w:rFonts w:ascii="Times New Roman" w:hAnsi="Times New Roman" w:cs="Times New Roman"/>
          <w:sz w:val="24"/>
          <w:szCs w:val="24"/>
        </w:rPr>
        <w:t xml:space="preserve"> 104-ФЗ) статья 112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44-ФЗ дополнена частью 64.1, предусматривающей, что до 31.12.2022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44-ФЗ предусмотрена документация о закупке), проекте контракта. Данные положения не применяются, если контрактом предусмотрена выплата аванса и при этом расчеты в части аванса не подлежат казначейскому сопровождению. </w:t>
      </w:r>
    </w:p>
    <w:p w14:paraId="5F5EDDD4" w14:textId="2B99A9A3"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отношении пунктов 10 и 11 Предложений, в том числе предусматривающих внесение изменений в Закон </w:t>
      </w:r>
      <w:r>
        <w:rPr>
          <w:rFonts w:ascii="Times New Roman" w:hAnsi="Times New Roman" w:cs="Times New Roman"/>
          <w:sz w:val="24"/>
          <w:szCs w:val="24"/>
        </w:rPr>
        <w:t>№</w:t>
      </w:r>
      <w:r w:rsidRPr="00EF6A1E">
        <w:rPr>
          <w:rFonts w:ascii="Times New Roman" w:hAnsi="Times New Roman" w:cs="Times New Roman"/>
          <w:sz w:val="24"/>
          <w:szCs w:val="24"/>
        </w:rPr>
        <w:t xml:space="preserve"> 223-ФЗ, сообщаем, что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223-ФЗ установлена правовая конструкция, предусматривающая высокую степень самостоятельности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 в положении о закупке. </w:t>
      </w:r>
    </w:p>
    <w:p w14:paraId="5571000E" w14:textId="40193A1A"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Закон </w:t>
      </w:r>
      <w:r>
        <w:rPr>
          <w:rFonts w:ascii="Times New Roman" w:hAnsi="Times New Roman" w:cs="Times New Roman"/>
          <w:sz w:val="24"/>
          <w:szCs w:val="24"/>
        </w:rPr>
        <w:t>№</w:t>
      </w:r>
      <w:r w:rsidRPr="00EF6A1E">
        <w:rPr>
          <w:rFonts w:ascii="Times New Roman" w:hAnsi="Times New Roman" w:cs="Times New Roman"/>
          <w:sz w:val="24"/>
          <w:szCs w:val="24"/>
        </w:rPr>
        <w:t xml:space="preserve"> 223-ФЗ не устанавливает оснований и порядка изменения и расторжения договора. </w:t>
      </w:r>
    </w:p>
    <w:p w14:paraId="6B1C0475" w14:textId="240E2761"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 соответствии с частями 1 и 2 статьи 2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223-ФЗ порядок исполнения договоров регулируется положением о закупке, а также Гражданским кодексом Российской Федерации (далее - ГК РФ), определяющим основания и порядок изменения и расторжения договора, в том числе в связи с существенным изменением обстоятельств. </w:t>
      </w:r>
    </w:p>
    <w:p w14:paraId="2CE3E182" w14:textId="206D7752"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Согласно пункту 1 статьи 450 ГК РФ изменение и расторжение договора возможны по соглашению сторон, если иное не предусмотрено ГК РФ, другими законами или договором. </w:t>
      </w:r>
    </w:p>
    <w:p w14:paraId="3D4F0C5F" w14:textId="566E8D05"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Пунктами 1 и 2 статьи 451 ГК РФ установлено, что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пунктом 4 статьи 451 ГК РФ, изменен судом по требованию заинтересованной стороны при наличии предусмотренных пунктом 2 статьи 451 ГК РФ условий. </w:t>
      </w:r>
    </w:p>
    <w:p w14:paraId="1C9A71AE" w14:textId="26374776"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Таким образом, вопросы, связанные с изменением или расторжением договора, возникновением ответственности за нарушение исполнения предусмотренных договором обязательств, решаются сторонами договора в соответствии с нормами ГК РФ, в том числе главы 29 ГК РФ, положением о закупке и заключенным договором. </w:t>
      </w:r>
    </w:p>
    <w:p w14:paraId="6C07D987" w14:textId="01318EC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Также следует отметить, что Правительством Российской Федерации 06.03.2022 изданы Директивы </w:t>
      </w:r>
      <w:r>
        <w:rPr>
          <w:rFonts w:ascii="Times New Roman" w:hAnsi="Times New Roman" w:cs="Times New Roman"/>
          <w:sz w:val="24"/>
          <w:szCs w:val="24"/>
        </w:rPr>
        <w:t>№</w:t>
      </w:r>
      <w:r w:rsidRPr="00EF6A1E">
        <w:rPr>
          <w:rFonts w:ascii="Times New Roman" w:hAnsi="Times New Roman" w:cs="Times New Roman"/>
          <w:sz w:val="24"/>
          <w:szCs w:val="24"/>
        </w:rPr>
        <w:t xml:space="preserve"> 2182п-П13кс представителям интересов Российской Федерации для участия в заседаниях советов директоров (наблюдательных советов) акционерных обществ с государственным участием, включенных в специальный перечень, утвержденный распоряжением Правительства Российской Федерации от 23.01.2003 </w:t>
      </w:r>
      <w:r>
        <w:rPr>
          <w:rFonts w:ascii="Times New Roman" w:hAnsi="Times New Roman" w:cs="Times New Roman"/>
          <w:sz w:val="24"/>
          <w:szCs w:val="24"/>
        </w:rPr>
        <w:t>№</w:t>
      </w:r>
      <w:r w:rsidRPr="00EF6A1E">
        <w:rPr>
          <w:rFonts w:ascii="Times New Roman" w:hAnsi="Times New Roman" w:cs="Times New Roman"/>
          <w:sz w:val="24"/>
          <w:szCs w:val="24"/>
        </w:rPr>
        <w:t xml:space="preserve"> 91-р, закупки которых осуществляются в соответствии с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223-ФЗ, предусматривающие принятие решений, обеспечивающих: </w:t>
      </w:r>
    </w:p>
    <w:p w14:paraId="04310E87"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неприменение в 2022 году штрафных санкций в связи с нарушением поставщиком (исполнителем, подрядчиком)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 </w:t>
      </w:r>
    </w:p>
    <w:p w14:paraId="6906F588"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возможность в 2022 году изменения условий договора, если в связи с введением ограничительных мер в отношении Российской Федерации со стороны недружественных </w:t>
      </w:r>
      <w:r w:rsidRPr="00EF6A1E">
        <w:rPr>
          <w:rFonts w:ascii="Times New Roman" w:hAnsi="Times New Roman" w:cs="Times New Roman"/>
          <w:sz w:val="24"/>
          <w:szCs w:val="24"/>
        </w:rPr>
        <w:lastRenderedPageBreak/>
        <w:t xml:space="preserve">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w:t>
      </w:r>
    </w:p>
    <w:p w14:paraId="4B064DDA" w14:textId="419A806C"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Основания для включения сведений в реестр недобросовестных поставщиков установлены положениями статьи 5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223-ФЗ. </w:t>
      </w:r>
    </w:p>
    <w:p w14:paraId="4BE5902B" w14:textId="539B93C9"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Так, в настоящее время согласно части 2 статьи 5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223-ФЗ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w:t>
      </w:r>
    </w:p>
    <w:p w14:paraId="40D891A5" w14:textId="080EA1CB"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При этом Законом </w:t>
      </w:r>
      <w:r>
        <w:rPr>
          <w:rFonts w:ascii="Times New Roman" w:hAnsi="Times New Roman" w:cs="Times New Roman"/>
          <w:sz w:val="24"/>
          <w:szCs w:val="24"/>
        </w:rPr>
        <w:t>№</w:t>
      </w:r>
      <w:r w:rsidRPr="00EF6A1E">
        <w:rPr>
          <w:rFonts w:ascii="Times New Roman" w:hAnsi="Times New Roman" w:cs="Times New Roman"/>
          <w:sz w:val="24"/>
          <w:szCs w:val="24"/>
        </w:rPr>
        <w:t xml:space="preserve"> 104-ФЗ внесены изменения в том числе в часть 2 статьи 5 Закона </w:t>
      </w:r>
      <w:r>
        <w:rPr>
          <w:rFonts w:ascii="Times New Roman" w:hAnsi="Times New Roman" w:cs="Times New Roman"/>
          <w:sz w:val="24"/>
          <w:szCs w:val="24"/>
        </w:rPr>
        <w:t>№</w:t>
      </w:r>
      <w:r w:rsidRPr="00EF6A1E">
        <w:rPr>
          <w:rFonts w:ascii="Times New Roman" w:hAnsi="Times New Roman" w:cs="Times New Roman"/>
          <w:sz w:val="24"/>
          <w:szCs w:val="24"/>
        </w:rPr>
        <w:t xml:space="preserve"> 223-ФЗ, вступающие в силу с 01.07.2022, в соответствии с которыми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w:t>
      </w:r>
    </w:p>
    <w:p w14:paraId="4F58407B" w14:textId="6D36E5D6"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Учитывая действующие механизмы, предусмотренные законодательством Российской Федерации в сфере закупок, дополнительное внесение изменений в Закон </w:t>
      </w:r>
      <w:r>
        <w:rPr>
          <w:rFonts w:ascii="Times New Roman" w:hAnsi="Times New Roman" w:cs="Times New Roman"/>
          <w:sz w:val="24"/>
          <w:szCs w:val="24"/>
        </w:rPr>
        <w:t>№</w:t>
      </w:r>
      <w:r w:rsidRPr="00EF6A1E">
        <w:rPr>
          <w:rFonts w:ascii="Times New Roman" w:hAnsi="Times New Roman" w:cs="Times New Roman"/>
          <w:sz w:val="24"/>
          <w:szCs w:val="24"/>
        </w:rPr>
        <w:t xml:space="preserve"> 44-ФЗ, а также в Закон </w:t>
      </w:r>
      <w:r>
        <w:rPr>
          <w:rFonts w:ascii="Times New Roman" w:hAnsi="Times New Roman" w:cs="Times New Roman"/>
          <w:sz w:val="24"/>
          <w:szCs w:val="24"/>
        </w:rPr>
        <w:t>№</w:t>
      </w:r>
      <w:r w:rsidRPr="00EF6A1E">
        <w:rPr>
          <w:rFonts w:ascii="Times New Roman" w:hAnsi="Times New Roman" w:cs="Times New Roman"/>
          <w:sz w:val="24"/>
          <w:szCs w:val="24"/>
        </w:rPr>
        <w:t xml:space="preserve"> 223-ФЗ не требуется. </w:t>
      </w:r>
    </w:p>
    <w:p w14:paraId="07AE8AD9" w14:textId="77777777" w:rsidR="00EF6A1E" w:rsidRPr="00EF6A1E" w:rsidRDefault="00EF6A1E" w:rsidP="00EF6A1E">
      <w:pPr>
        <w:ind w:firstLine="709"/>
        <w:contextualSpacing/>
        <w:jc w:val="both"/>
        <w:rPr>
          <w:rFonts w:ascii="Times New Roman" w:hAnsi="Times New Roman" w:cs="Times New Roman"/>
          <w:sz w:val="24"/>
          <w:szCs w:val="24"/>
        </w:rPr>
      </w:pPr>
      <w:r w:rsidRPr="00EF6A1E">
        <w:rPr>
          <w:rFonts w:ascii="Times New Roman" w:hAnsi="Times New Roman" w:cs="Times New Roman"/>
          <w:sz w:val="24"/>
          <w:szCs w:val="24"/>
        </w:rPr>
        <w:t xml:space="preserve">  </w:t>
      </w:r>
    </w:p>
    <w:p w14:paraId="4E116A58" w14:textId="77777777" w:rsidR="00EF6A1E" w:rsidRPr="00EF6A1E" w:rsidRDefault="00EF6A1E" w:rsidP="00EF6A1E">
      <w:pPr>
        <w:ind w:firstLine="709"/>
        <w:contextualSpacing/>
        <w:jc w:val="right"/>
        <w:rPr>
          <w:rFonts w:ascii="Times New Roman" w:hAnsi="Times New Roman" w:cs="Times New Roman"/>
          <w:sz w:val="24"/>
          <w:szCs w:val="24"/>
        </w:rPr>
      </w:pPr>
      <w:r w:rsidRPr="00EF6A1E">
        <w:rPr>
          <w:rFonts w:ascii="Times New Roman" w:hAnsi="Times New Roman" w:cs="Times New Roman"/>
          <w:sz w:val="24"/>
          <w:szCs w:val="24"/>
        </w:rPr>
        <w:t xml:space="preserve">Заместитель директора Департамента </w:t>
      </w:r>
    </w:p>
    <w:p w14:paraId="0D297EB3" w14:textId="77777777" w:rsidR="00EF6A1E" w:rsidRPr="00EF6A1E" w:rsidRDefault="00EF6A1E" w:rsidP="00EF6A1E">
      <w:pPr>
        <w:ind w:firstLine="709"/>
        <w:contextualSpacing/>
        <w:jc w:val="right"/>
        <w:rPr>
          <w:rFonts w:ascii="Times New Roman" w:hAnsi="Times New Roman" w:cs="Times New Roman"/>
          <w:sz w:val="24"/>
          <w:szCs w:val="24"/>
        </w:rPr>
      </w:pPr>
      <w:r w:rsidRPr="00EF6A1E">
        <w:rPr>
          <w:rFonts w:ascii="Times New Roman" w:hAnsi="Times New Roman" w:cs="Times New Roman"/>
          <w:sz w:val="24"/>
          <w:szCs w:val="24"/>
        </w:rPr>
        <w:t xml:space="preserve">налоговой политики </w:t>
      </w:r>
    </w:p>
    <w:p w14:paraId="0BEE4C82" w14:textId="77777777" w:rsidR="00EF6A1E" w:rsidRPr="00EF6A1E" w:rsidRDefault="00EF6A1E" w:rsidP="00EF6A1E">
      <w:pPr>
        <w:ind w:firstLine="709"/>
        <w:contextualSpacing/>
        <w:jc w:val="right"/>
        <w:rPr>
          <w:rFonts w:ascii="Times New Roman" w:hAnsi="Times New Roman" w:cs="Times New Roman"/>
          <w:sz w:val="24"/>
          <w:szCs w:val="24"/>
        </w:rPr>
      </w:pPr>
      <w:r w:rsidRPr="00EF6A1E">
        <w:rPr>
          <w:rFonts w:ascii="Times New Roman" w:hAnsi="Times New Roman" w:cs="Times New Roman"/>
          <w:sz w:val="24"/>
          <w:szCs w:val="24"/>
        </w:rPr>
        <w:t xml:space="preserve">В.А.ПРОКАЕВ </w:t>
      </w:r>
    </w:p>
    <w:p w14:paraId="4FF9C289" w14:textId="77777777" w:rsidR="00EF6A1E" w:rsidRPr="00EF6A1E" w:rsidRDefault="00EF6A1E" w:rsidP="00EF6A1E">
      <w:pPr>
        <w:ind w:firstLine="709"/>
        <w:contextualSpacing/>
        <w:jc w:val="right"/>
        <w:rPr>
          <w:rFonts w:ascii="Times New Roman" w:hAnsi="Times New Roman" w:cs="Times New Roman"/>
          <w:sz w:val="24"/>
          <w:szCs w:val="24"/>
        </w:rPr>
      </w:pPr>
      <w:r w:rsidRPr="00EF6A1E">
        <w:rPr>
          <w:rFonts w:ascii="Times New Roman" w:hAnsi="Times New Roman" w:cs="Times New Roman"/>
          <w:sz w:val="24"/>
          <w:szCs w:val="24"/>
        </w:rPr>
        <w:t xml:space="preserve">20.04.2022 </w:t>
      </w:r>
    </w:p>
    <w:p w14:paraId="3BA8DB29" w14:textId="77777777" w:rsidR="00EF6A1E" w:rsidRPr="00EF6A1E" w:rsidRDefault="00EF6A1E" w:rsidP="00EF6A1E">
      <w:pPr>
        <w:pStyle w:val="aligncenter"/>
        <w:shd w:val="clear" w:color="auto" w:fill="FFFFFF"/>
        <w:spacing w:before="0" w:beforeAutospacing="0" w:after="0" w:afterAutospacing="0"/>
        <w:ind w:firstLine="709"/>
        <w:contextualSpacing/>
        <w:jc w:val="both"/>
        <w:rPr>
          <w:b/>
          <w:bCs/>
          <w:color w:val="FF0000"/>
        </w:rPr>
      </w:pPr>
    </w:p>
    <w:p w14:paraId="57EC821E" w14:textId="77777777" w:rsidR="00EF6A1E" w:rsidRPr="00EF6A1E" w:rsidRDefault="00EF6A1E" w:rsidP="00EF6A1E">
      <w:pPr>
        <w:pStyle w:val="aligncenter"/>
        <w:shd w:val="clear" w:color="auto" w:fill="FFFFFF"/>
        <w:spacing w:before="0" w:beforeAutospacing="0" w:after="0" w:afterAutospacing="0"/>
        <w:ind w:firstLine="709"/>
        <w:contextualSpacing/>
        <w:jc w:val="both"/>
        <w:rPr>
          <w:b/>
          <w:bCs/>
          <w:color w:val="FF0000"/>
        </w:rPr>
      </w:pPr>
    </w:p>
    <w:p w14:paraId="50FE02B0" w14:textId="77777777" w:rsidR="006D32F1" w:rsidRPr="00D814B0" w:rsidRDefault="006D32F1" w:rsidP="00544CE9">
      <w:pPr>
        <w:ind w:firstLine="709"/>
        <w:contextualSpacing/>
        <w:rPr>
          <w:rFonts w:ascii="Times New Roman" w:hAnsi="Times New Roman" w:cs="Times New Roman"/>
          <w:color w:val="000000" w:themeColor="text1"/>
          <w:sz w:val="24"/>
          <w:szCs w:val="24"/>
        </w:rPr>
      </w:pPr>
    </w:p>
    <w:sectPr w:rsidR="006D32F1" w:rsidRPr="00D81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54767"/>
    <w:rsid w:val="006D32F1"/>
    <w:rsid w:val="008B4EEB"/>
    <w:rsid w:val="00B96795"/>
    <w:rsid w:val="00C1291E"/>
    <w:rsid w:val="00D814B0"/>
    <w:rsid w:val="00E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A1E"/>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4297</Words>
  <Characters>24494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2022-07-04T06:38:00Z</dcterms:created>
  <dcterms:modified xsi:type="dcterms:W3CDTF">2022-07-05T05:17:00Z</dcterms:modified>
</cp:coreProperties>
</file>