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0E98" w14:textId="59B6A007" w:rsidR="00464E8A" w:rsidRPr="00464E8A" w:rsidRDefault="00464E8A" w:rsidP="00464E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E8A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76F2DC15" w14:textId="276A65C3" w:rsidR="00464E8A" w:rsidRPr="00464E8A" w:rsidRDefault="00464E8A" w:rsidP="00464E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E8A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5DF219D9" w14:textId="12C4AA8A" w:rsidR="00464E8A" w:rsidRPr="00464E8A" w:rsidRDefault="00464E8A" w:rsidP="00464E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E8A">
        <w:rPr>
          <w:rFonts w:ascii="Times New Roman" w:hAnsi="Times New Roman" w:cs="Times New Roman"/>
          <w:b/>
          <w:bCs/>
          <w:sz w:val="24"/>
          <w:szCs w:val="24"/>
        </w:rPr>
        <w:t xml:space="preserve">от 19 июля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64E8A">
        <w:rPr>
          <w:rFonts w:ascii="Times New Roman" w:hAnsi="Times New Roman" w:cs="Times New Roman"/>
          <w:b/>
          <w:bCs/>
          <w:sz w:val="24"/>
          <w:szCs w:val="24"/>
        </w:rPr>
        <w:t xml:space="preserve"> 02-09-08/</w:t>
      </w:r>
      <w:bookmarkStart w:id="0" w:name="_Hlk112081202"/>
      <w:bookmarkStart w:id="1" w:name="_GoBack"/>
      <w:r w:rsidRPr="00464E8A">
        <w:rPr>
          <w:rFonts w:ascii="Times New Roman" w:hAnsi="Times New Roman" w:cs="Times New Roman"/>
          <w:b/>
          <w:bCs/>
          <w:sz w:val="24"/>
          <w:szCs w:val="24"/>
        </w:rPr>
        <w:t>69361</w:t>
      </w:r>
      <w:bookmarkEnd w:id="0"/>
      <w:bookmarkEnd w:id="1"/>
    </w:p>
    <w:p w14:paraId="5934CD58" w14:textId="1D13A9C4" w:rsidR="00464E8A" w:rsidRPr="00464E8A" w:rsidRDefault="00464E8A" w:rsidP="00464E8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64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контроле в сфере закупок; об оформлении результатов контрольных мероприятий и осуществлении выездных контрольных действий в рамках камеральных проверок органами внутреннего финансового контроля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BD67C5D" w14:textId="77777777" w:rsidR="00464E8A" w:rsidRDefault="00464E8A" w:rsidP="00464E8A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t xml:space="preserve">  </w:t>
      </w:r>
    </w:p>
    <w:p w14:paraId="5E6DD027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письмо от 14.06.2022, сообщает. </w:t>
      </w:r>
    </w:p>
    <w:p w14:paraId="35D7563D" w14:textId="4EB4973C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64E8A">
        <w:rPr>
          <w:rFonts w:ascii="Times New Roman" w:hAnsi="Times New Roman" w:cs="Times New Roman"/>
          <w:sz w:val="24"/>
          <w:szCs w:val="24"/>
        </w:rPr>
        <w:t>абзацу первому пункта 11.8</w:t>
      </w:r>
      <w:r w:rsidRPr="00464E8A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194н, Министерством финансов Российской Федерации не осуществляются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114357C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сфере. </w:t>
      </w:r>
    </w:p>
    <w:p w14:paraId="1F5488ED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Вместе с тем считаем необходимым отметить следующее. </w:t>
      </w:r>
    </w:p>
    <w:p w14:paraId="0915AC64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1. По вопросу осуществления контроля в сфере закупок </w:t>
      </w:r>
    </w:p>
    <w:p w14:paraId="1F8325F6" w14:textId="7509193A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464E8A">
        <w:rPr>
          <w:rFonts w:ascii="Times New Roman" w:hAnsi="Times New Roman" w:cs="Times New Roman"/>
          <w:sz w:val="24"/>
          <w:szCs w:val="24"/>
        </w:rPr>
        <w:t>статьей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44-ФЗ) и иными нормативными правовыми актами, правовыми актами, определяющими функции и полномочия государственных органов и муниципальных органов, контроль в сфере закупок осуществляют в том числе следующие органы контроля в пределах их полномочий: </w:t>
      </w:r>
    </w:p>
    <w:p w14:paraId="05541999" w14:textId="68858F0A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федеральный орган исполнительной власти, уполномоченный на осуществление контроля в сфере закупок, контрольный орган в сфере государственного оборонного заказа, органы исполнительной власти субъекта Российской Федерации, органы местного самоуправления муниципального района, органы местного самоуправления городского округа, уполномоченные на осуществление контроля в сфере закупок (далее - Органы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1); </w:t>
      </w:r>
    </w:p>
    <w:p w14:paraId="0666C426" w14:textId="7111E08D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органы внутреннего государственного (муниципального) финансового контроля, определенные в соответствии с Бюджетным </w:t>
      </w:r>
      <w:r w:rsidRPr="00464E8A">
        <w:rPr>
          <w:rFonts w:ascii="Times New Roman" w:hAnsi="Times New Roman" w:cs="Times New Roman"/>
          <w:sz w:val="24"/>
          <w:szCs w:val="24"/>
        </w:rPr>
        <w:t>кодексом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Органы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2). </w:t>
      </w:r>
    </w:p>
    <w:p w14:paraId="2F7F96CF" w14:textId="01CB81B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464E8A">
        <w:rPr>
          <w:rFonts w:ascii="Times New Roman" w:hAnsi="Times New Roman" w:cs="Times New Roman"/>
          <w:sz w:val="24"/>
          <w:szCs w:val="24"/>
        </w:rPr>
        <w:t>части 2 статьи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 контроль в сфере закупок Органами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 осуществляется в соответствии с </w:t>
      </w:r>
      <w:r w:rsidRPr="00464E8A">
        <w:rPr>
          <w:rFonts w:ascii="Times New Roman" w:hAnsi="Times New Roman" w:cs="Times New Roman"/>
          <w:sz w:val="24"/>
          <w:szCs w:val="24"/>
        </w:rPr>
        <w:t>Правилами</w:t>
      </w:r>
      <w:r w:rsidRPr="00464E8A">
        <w:rPr>
          <w:rFonts w:ascii="Times New Roman" w:hAnsi="Times New Roman" w:cs="Times New Roman"/>
          <w:sz w:val="24"/>
          <w:szCs w:val="24"/>
        </w:rPr>
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представлений, утвержденными постановлением Правительства Российской Федерации от 01.10.2020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1576 (далее - Правила), устанавливающими в том числе порядок организации, предмет проведения и порядок оформления результатов проверок. </w:t>
      </w:r>
    </w:p>
    <w:p w14:paraId="4CC95518" w14:textId="4C08496B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464E8A">
        <w:rPr>
          <w:rFonts w:ascii="Times New Roman" w:hAnsi="Times New Roman" w:cs="Times New Roman"/>
          <w:sz w:val="24"/>
          <w:szCs w:val="24"/>
        </w:rPr>
        <w:t>пункта 3 статьи 269.2</w:t>
      </w:r>
      <w:r w:rsidRPr="00464E8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БК РФ) Органы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 при осуществлении внутреннего государственного (муниципального) финансового контроля, в том числе контроля в сфере закупок, </w:t>
      </w:r>
      <w:r w:rsidRPr="00464E8A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установленного </w:t>
      </w:r>
      <w:r w:rsidRPr="00464E8A">
        <w:rPr>
          <w:rFonts w:ascii="Times New Roman" w:hAnsi="Times New Roman" w:cs="Times New Roman"/>
          <w:sz w:val="24"/>
          <w:szCs w:val="24"/>
        </w:rPr>
        <w:t>частью 8 статьи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44-ФЗ, должны руководствоваться федеральными стандартами, утвержденными нормативными правовыми актами Правительства Российской Федерации. </w:t>
      </w:r>
    </w:p>
    <w:p w14:paraId="62D26803" w14:textId="544258D4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Норма аналогичного характера установлена положениями </w:t>
      </w:r>
      <w:r w:rsidRPr="00464E8A">
        <w:rPr>
          <w:rFonts w:ascii="Times New Roman" w:hAnsi="Times New Roman" w:cs="Times New Roman"/>
          <w:sz w:val="24"/>
          <w:szCs w:val="24"/>
        </w:rPr>
        <w:t>части 9 статьи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44-ФЗ, согласно которым контроль в сфере закупок Органами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 осуществляется в соответствии с порядком, предусмотренным бюджетным законодательством Российской Федерации и иными нормативными правовыми актами, регулирующими бюджетные правоотношения. </w:t>
      </w:r>
    </w:p>
    <w:p w14:paraId="3CED2351" w14:textId="4E9D437B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Правила проведения плановых и внеплановых проверок, ревизий и обследований (далее - контрольное мероприятие), а также порядок оформления их результатов в рамках реализации Органами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 полномочий по осуществлению внутреннего государственного (муниципального) финансового контроля установлены федеральным </w:t>
      </w:r>
      <w:r w:rsidRPr="00464E8A">
        <w:rPr>
          <w:rFonts w:ascii="Times New Roman" w:hAnsi="Times New Roman" w:cs="Times New Roman"/>
          <w:sz w:val="24"/>
          <w:szCs w:val="24"/>
        </w:rPr>
        <w:t>стандартом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утвержденным постановлением Правительства Российской Федерации от 17.08.2020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 (далее - Стандарт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1235). </w:t>
      </w:r>
    </w:p>
    <w:p w14:paraId="7070A74D" w14:textId="1B43AB42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Требования к содержанию и оформлению результатов контрольных мероприятий, осуществляемых Органами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 в рамках полномочий по внутреннему государственному (муниципальному) финансовому контролю, установлены </w:t>
      </w:r>
      <w:r w:rsidRPr="00464E8A">
        <w:rPr>
          <w:rFonts w:ascii="Times New Roman" w:hAnsi="Times New Roman" w:cs="Times New Roman"/>
          <w:sz w:val="24"/>
          <w:szCs w:val="24"/>
        </w:rPr>
        <w:t>Стандартом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1235, а также </w:t>
      </w:r>
      <w:r w:rsidRPr="00464E8A">
        <w:rPr>
          <w:rFonts w:ascii="Times New Roman" w:hAnsi="Times New Roman" w:cs="Times New Roman"/>
          <w:sz w:val="24"/>
          <w:szCs w:val="24"/>
        </w:rPr>
        <w:t>приказом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 Минфина России от 30.12.2020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340н "Об утверждении форм документов, оформляемых органами внутреннего государственного (муниципального) финансового контроля" (далее - Приказ). </w:t>
      </w:r>
    </w:p>
    <w:p w14:paraId="2CCF1CC0" w14:textId="6EBBE53A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Принимая во внимание вышеизложенное, положениями </w:t>
      </w:r>
      <w:r w:rsidRPr="00464E8A">
        <w:rPr>
          <w:rFonts w:ascii="Times New Roman" w:hAnsi="Times New Roman" w:cs="Times New Roman"/>
          <w:sz w:val="24"/>
          <w:szCs w:val="24"/>
        </w:rPr>
        <w:t>статьи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 полномочия по контролю в сфере закупок (по </w:t>
      </w:r>
      <w:r w:rsidRPr="00464E8A">
        <w:rPr>
          <w:rFonts w:ascii="Times New Roman" w:hAnsi="Times New Roman" w:cs="Times New Roman"/>
          <w:sz w:val="24"/>
          <w:szCs w:val="24"/>
        </w:rPr>
        <w:t>части 3</w:t>
      </w:r>
      <w:r w:rsidRPr="00464E8A">
        <w:rPr>
          <w:rFonts w:ascii="Times New Roman" w:hAnsi="Times New Roman" w:cs="Times New Roman"/>
          <w:sz w:val="24"/>
          <w:szCs w:val="24"/>
        </w:rPr>
        <w:t xml:space="preserve"> и </w:t>
      </w:r>
      <w:r w:rsidRPr="00464E8A">
        <w:rPr>
          <w:rFonts w:ascii="Times New Roman" w:hAnsi="Times New Roman" w:cs="Times New Roman"/>
          <w:sz w:val="24"/>
          <w:szCs w:val="24"/>
        </w:rPr>
        <w:t>части 8 статьи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44-ФЗ), а также порядок его осуществления Органами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 и Органами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 (в том числе в части организации процедуры проведения и оформления результатов проверок) разграничены. </w:t>
      </w:r>
    </w:p>
    <w:p w14:paraId="208EBB42" w14:textId="2C0A257A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Вместе с тем с учетом общепринятой практики на муниципальном уровне указанные полномочия по контролю в сфере закупок могут осуществляться одним органом, являющимся органом местной администрации, в связи с чем, по мнению Департамента, одновременное проведение указанным органом проверки по контролю в сфере закупок, предусмотренному </w:t>
      </w:r>
      <w:r w:rsidRPr="00464E8A">
        <w:rPr>
          <w:rFonts w:ascii="Times New Roman" w:hAnsi="Times New Roman" w:cs="Times New Roman"/>
          <w:sz w:val="24"/>
          <w:szCs w:val="24"/>
        </w:rPr>
        <w:t>частью 3</w:t>
      </w:r>
      <w:r w:rsidRPr="00464E8A">
        <w:rPr>
          <w:rFonts w:ascii="Times New Roman" w:hAnsi="Times New Roman" w:cs="Times New Roman"/>
          <w:sz w:val="24"/>
          <w:szCs w:val="24"/>
        </w:rPr>
        <w:t xml:space="preserve"> и </w:t>
      </w:r>
      <w:r w:rsidRPr="00464E8A">
        <w:rPr>
          <w:rFonts w:ascii="Times New Roman" w:hAnsi="Times New Roman" w:cs="Times New Roman"/>
          <w:sz w:val="24"/>
          <w:szCs w:val="24"/>
        </w:rPr>
        <w:t>частью 8 статьи 99</w:t>
      </w:r>
      <w:r w:rsidRPr="00464E8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44-ФЗ, допустимо с обязательным соблюдением требований, касающихся организации проведения и оформления результатов контрольных мероприятий, установленных </w:t>
      </w:r>
      <w:r w:rsidRPr="00464E8A">
        <w:rPr>
          <w:rFonts w:ascii="Times New Roman" w:hAnsi="Times New Roman" w:cs="Times New Roman"/>
          <w:sz w:val="24"/>
          <w:szCs w:val="24"/>
        </w:rPr>
        <w:t>Правилами</w:t>
      </w:r>
      <w:r w:rsidRPr="00464E8A">
        <w:rPr>
          <w:rFonts w:ascii="Times New Roman" w:hAnsi="Times New Roman" w:cs="Times New Roman"/>
          <w:sz w:val="24"/>
          <w:szCs w:val="24"/>
        </w:rPr>
        <w:t xml:space="preserve">, федеральными стандартами внутреннего государственного (муниципального) финансового контроля (в том числе </w:t>
      </w:r>
      <w:r w:rsidRPr="00464E8A">
        <w:rPr>
          <w:rFonts w:ascii="Times New Roman" w:hAnsi="Times New Roman" w:cs="Times New Roman"/>
          <w:sz w:val="24"/>
          <w:szCs w:val="24"/>
        </w:rPr>
        <w:t>Стандартом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1235) и </w:t>
      </w:r>
      <w:r w:rsidRPr="00464E8A">
        <w:rPr>
          <w:rFonts w:ascii="Times New Roman" w:hAnsi="Times New Roman" w:cs="Times New Roman"/>
          <w:sz w:val="24"/>
          <w:szCs w:val="24"/>
        </w:rPr>
        <w:t>Приказом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28DB9" w14:textId="3C976D08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При этом считаем необходимым обратить внимание, что темы контрольных мероприятий в рамках осуществления внутреннего государственного (муниципального) финансового контроля формируются согласно федеральному </w:t>
      </w:r>
      <w:r w:rsidRPr="00464E8A">
        <w:rPr>
          <w:rFonts w:ascii="Times New Roman" w:hAnsi="Times New Roman" w:cs="Times New Roman"/>
          <w:sz w:val="24"/>
          <w:szCs w:val="24"/>
        </w:rPr>
        <w:t>стандарту</w:t>
      </w:r>
      <w:r w:rsidRPr="00464E8A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(муниципального) финансового контроля "Планирование проверок, ревизий и обследований", утвержденному постановлением Правительства Российской Федерации от 27.02.2020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208. </w:t>
      </w:r>
    </w:p>
    <w:p w14:paraId="42F3B545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2. По вопросу оформления результатов контрольных мероприятий органами внутреннего государственного (муниципального) финансового контроля (далее - органы контроля) </w:t>
      </w:r>
    </w:p>
    <w:p w14:paraId="1A7DE159" w14:textId="330828FD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r w:rsidRPr="00464E8A">
        <w:rPr>
          <w:rFonts w:ascii="Times New Roman" w:hAnsi="Times New Roman" w:cs="Times New Roman"/>
          <w:sz w:val="24"/>
          <w:szCs w:val="24"/>
        </w:rPr>
        <w:t>пункта 53</w:t>
      </w:r>
      <w:r w:rsidRPr="00464E8A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 </w:t>
      </w:r>
      <w:r w:rsidRPr="00464E8A">
        <w:rPr>
          <w:rFonts w:ascii="Times New Roman" w:hAnsi="Times New Roman" w:cs="Times New Roman"/>
          <w:sz w:val="24"/>
          <w:szCs w:val="24"/>
        </w:rPr>
        <w:t>акт</w:t>
      </w:r>
      <w:r w:rsidRPr="00464E8A">
        <w:rPr>
          <w:rFonts w:ascii="Times New Roman" w:hAnsi="Times New Roman" w:cs="Times New Roman"/>
          <w:sz w:val="24"/>
          <w:szCs w:val="24"/>
        </w:rPr>
        <w:t xml:space="preserve">, оформляемый органом контроля по результатам контрольного мероприятия, может дополняться приложениями, к которым и том числе относятся иные документы, подтверждающие результаты контрольного мероприятия. </w:t>
      </w:r>
    </w:p>
    <w:p w14:paraId="6A3ADF88" w14:textId="7096634C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При этом, если в ходе контрольных мероприятий выявлены нарушения, то в соответствии с </w:t>
      </w:r>
      <w:r w:rsidRPr="00464E8A">
        <w:rPr>
          <w:rFonts w:ascii="Times New Roman" w:hAnsi="Times New Roman" w:cs="Times New Roman"/>
          <w:sz w:val="24"/>
          <w:szCs w:val="24"/>
        </w:rPr>
        <w:t>пунктом 54</w:t>
      </w:r>
      <w:r w:rsidRPr="00464E8A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 указанные нарушения подтверждаются соответствующими документами или их копиями, фото-, видео-, аудиозаписями и иными материалами. </w:t>
      </w:r>
    </w:p>
    <w:p w14:paraId="6F9E5A31" w14:textId="57A90024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lastRenderedPageBreak/>
        <w:t>Пунктом 9</w:t>
      </w:r>
      <w:r w:rsidRPr="00464E8A">
        <w:rPr>
          <w:rFonts w:ascii="Times New Roman" w:hAnsi="Times New Roman" w:cs="Times New Roman"/>
          <w:sz w:val="24"/>
          <w:szCs w:val="24"/>
        </w:rPr>
        <w:t xml:space="preserve"> федерального стандарта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контроля", утвержденного постановлением Правительства Российской Федерации от 06.02.2020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95, также установлено, что должностные лица органа контроля при осуществлении полномочий по внутреннему государственному (муниципальному) финансовому контролю должны руководствоваться принципом достоверности, который предполагает, что выводы должностных лиц органа контроля должны быть </w:t>
      </w:r>
      <w:proofErr w:type="spellStart"/>
      <w:r w:rsidRPr="00464E8A">
        <w:rPr>
          <w:rFonts w:ascii="Times New Roman" w:hAnsi="Times New Roman" w:cs="Times New Roman"/>
          <w:sz w:val="24"/>
          <w:szCs w:val="24"/>
        </w:rPr>
        <w:t>обоснованны</w:t>
      </w:r>
      <w:proofErr w:type="spellEnd"/>
      <w:r w:rsidRPr="00464E8A">
        <w:rPr>
          <w:rFonts w:ascii="Times New Roman" w:hAnsi="Times New Roman" w:cs="Times New Roman"/>
          <w:sz w:val="24"/>
          <w:szCs w:val="24"/>
        </w:rPr>
        <w:t xml:space="preserve"> и подтверждаться информацией и документами. </w:t>
      </w:r>
    </w:p>
    <w:p w14:paraId="28F6F852" w14:textId="3DD83900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Кроме того, согласно </w:t>
      </w:r>
      <w:r w:rsidRPr="00464E8A">
        <w:rPr>
          <w:rFonts w:ascii="Times New Roman" w:hAnsi="Times New Roman" w:cs="Times New Roman"/>
          <w:sz w:val="24"/>
          <w:szCs w:val="24"/>
        </w:rPr>
        <w:t>подпункту "д" пункта 4</w:t>
      </w:r>
      <w:r w:rsidRPr="00464E8A">
        <w:rPr>
          <w:rFonts w:ascii="Times New Roman" w:hAnsi="Times New Roman" w:cs="Times New Roman"/>
          <w:sz w:val="24"/>
          <w:szCs w:val="24"/>
        </w:rPr>
        <w:t xml:space="preserve">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контроля", утвержденного постановлением Правительства Российской Федерации от 06.02.2020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100, должностные лица органа контроля обязаны знакомить руководителя (представителя) объекта контроля в том числе с результатами контрольных мероприятий (актами, заключениями). </w:t>
      </w:r>
    </w:p>
    <w:p w14:paraId="25A138A2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Считаем необходимым также отметить, что акт может содержать ссылки на прилагаемые к нему документы, в связи с чем указанные документы являются неотъемлемой частью акта. </w:t>
      </w:r>
    </w:p>
    <w:p w14:paraId="35066656" w14:textId="1065EE95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Принимая во внимание вышеизложенное, приобщение (приложение) к акту документов, подтверждающих результаты контрольного мероприятия, проведенного органом контроля (подтверждающих выявленные органом контроля в ходе контрольного мероприятия нарушения), а также ссылки на которые содержатся в акте, является обязательным, в том числе при направлении в порядке и в сроки, установленные </w:t>
      </w:r>
      <w:r w:rsidRPr="00464E8A">
        <w:rPr>
          <w:rFonts w:ascii="Times New Roman" w:hAnsi="Times New Roman" w:cs="Times New Roman"/>
          <w:sz w:val="24"/>
          <w:szCs w:val="24"/>
        </w:rPr>
        <w:t>Стандартом</w:t>
      </w:r>
      <w:r w:rsidRPr="00464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1235, копии акта объекту контроля. </w:t>
      </w:r>
    </w:p>
    <w:p w14:paraId="5190AFA8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3. По вопросу осуществления органами контроля выездных контрольных действий в рамках проведения камеральных проверок </w:t>
      </w:r>
    </w:p>
    <w:p w14:paraId="36AFA5A3" w14:textId="01C63684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64E8A">
        <w:rPr>
          <w:rFonts w:ascii="Times New Roman" w:hAnsi="Times New Roman" w:cs="Times New Roman"/>
          <w:sz w:val="24"/>
          <w:szCs w:val="24"/>
        </w:rPr>
        <w:t>пункту 3 статьи 267.1</w:t>
      </w:r>
      <w:r w:rsidRPr="00464E8A">
        <w:rPr>
          <w:rFonts w:ascii="Times New Roman" w:hAnsi="Times New Roman" w:cs="Times New Roman"/>
          <w:sz w:val="24"/>
          <w:szCs w:val="24"/>
        </w:rPr>
        <w:t xml:space="preserve"> БК РФ проверки, осуществляемые органами внутреннего государственного (муниципального) финансового контроля, в том числе подразделяются на камеральные и выездные. Под камеральными проверками понимаются проверки, проводимые по месту нахождения органа контроля на основании бюджетной отчетности, бухгалтерской (финансовой) отчетности и иных документов, представленных по его запросу. </w:t>
      </w:r>
    </w:p>
    <w:p w14:paraId="0B721D62" w14:textId="5AEDA8C4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В случае невозможности получения необходимой информации (документов, материалов) в рамках камеральной проверки, в соответствии с </w:t>
      </w:r>
      <w:r w:rsidRPr="00464E8A">
        <w:rPr>
          <w:rFonts w:ascii="Times New Roman" w:hAnsi="Times New Roman" w:cs="Times New Roman"/>
          <w:sz w:val="24"/>
          <w:szCs w:val="24"/>
        </w:rPr>
        <w:t>пунктом 36</w:t>
      </w:r>
      <w:r w:rsidRPr="00464E8A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 руководитель (заместитель руководителя) органа контроля на основании мотивированного обращения руководителя контрольного мероприятия может назначить проведение обследования, встречной проверки. </w:t>
      </w:r>
    </w:p>
    <w:p w14:paraId="33DDF0CD" w14:textId="71EBD89A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При этом согласно </w:t>
      </w:r>
      <w:r w:rsidRPr="00464E8A">
        <w:rPr>
          <w:rFonts w:ascii="Times New Roman" w:hAnsi="Times New Roman" w:cs="Times New Roman"/>
          <w:sz w:val="24"/>
          <w:szCs w:val="24"/>
        </w:rPr>
        <w:t>пунктам 43</w:t>
      </w:r>
      <w:r w:rsidRPr="00464E8A">
        <w:rPr>
          <w:rFonts w:ascii="Times New Roman" w:hAnsi="Times New Roman" w:cs="Times New Roman"/>
          <w:sz w:val="24"/>
          <w:szCs w:val="24"/>
        </w:rPr>
        <w:t xml:space="preserve">, </w:t>
      </w:r>
      <w:r w:rsidRPr="00464E8A">
        <w:rPr>
          <w:rFonts w:ascii="Times New Roman" w:hAnsi="Times New Roman" w:cs="Times New Roman"/>
          <w:sz w:val="24"/>
          <w:szCs w:val="24"/>
        </w:rPr>
        <w:t>47</w:t>
      </w:r>
      <w:r w:rsidRPr="00464E8A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 обследование и встречные проверки соответственно могут быть проведены по месту нахождения объекта контроля. </w:t>
      </w:r>
    </w:p>
    <w:p w14:paraId="646BA4CA" w14:textId="08F014F8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r w:rsidRPr="00464E8A">
        <w:rPr>
          <w:rFonts w:ascii="Times New Roman" w:hAnsi="Times New Roman" w:cs="Times New Roman"/>
          <w:sz w:val="24"/>
          <w:szCs w:val="24"/>
        </w:rPr>
        <w:t>пунктом 11</w:t>
      </w:r>
      <w:r w:rsidRPr="00464E8A">
        <w:rPr>
          <w:rFonts w:ascii="Times New Roman" w:hAnsi="Times New Roman" w:cs="Times New Roman"/>
          <w:sz w:val="24"/>
          <w:szCs w:val="24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4E8A">
        <w:rPr>
          <w:rFonts w:ascii="Times New Roman" w:hAnsi="Times New Roman" w:cs="Times New Roman"/>
          <w:sz w:val="24"/>
          <w:szCs w:val="24"/>
        </w:rPr>
        <w:t xml:space="preserve"> 1235 решение о назначении внепланового контрольного мероприятия может быть принято в том числе на основании результата проведенного контрольного мероприятия, в том числе в случае невозможности получения необходимой информации (документов, материалов) в ходе проведения камеральной проверки. </w:t>
      </w:r>
    </w:p>
    <w:p w14:paraId="109DBBB1" w14:textId="77777777" w:rsidR="00464E8A" w:rsidRPr="00464E8A" w:rsidRDefault="00464E8A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E3634C5" w14:textId="77777777" w:rsidR="00464E8A" w:rsidRPr="00464E8A" w:rsidRDefault="00464E8A" w:rsidP="00464E8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50931746" w14:textId="77777777" w:rsidR="00464E8A" w:rsidRPr="00464E8A" w:rsidRDefault="00464E8A" w:rsidP="00464E8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С.С.БЫЧКОВ </w:t>
      </w:r>
    </w:p>
    <w:p w14:paraId="35F0AAA1" w14:textId="77777777" w:rsidR="00464E8A" w:rsidRPr="00464E8A" w:rsidRDefault="00464E8A" w:rsidP="00464E8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4E8A">
        <w:rPr>
          <w:rFonts w:ascii="Times New Roman" w:hAnsi="Times New Roman" w:cs="Times New Roman"/>
          <w:sz w:val="24"/>
          <w:szCs w:val="24"/>
        </w:rPr>
        <w:t xml:space="preserve">19.07.2022 </w:t>
      </w:r>
    </w:p>
    <w:p w14:paraId="50FE02B0" w14:textId="77777777" w:rsidR="006D32F1" w:rsidRPr="00464E8A" w:rsidRDefault="006D32F1" w:rsidP="00464E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6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464E8A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2022-08-22T12:20:00Z</dcterms:created>
  <dcterms:modified xsi:type="dcterms:W3CDTF">2022-08-22T12:20:00Z</dcterms:modified>
</cp:coreProperties>
</file>