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МИНИСТЕРСТВО ФИНАНСОВ 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ПИСЬМО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eastAsia="SimSun" w:cs="Arial"/>
          <w:b/>
          <w:bCs/>
          <w:kern w:val="0"/>
          <w:sz w:val="24"/>
          <w:szCs w:val="24"/>
          <w:lang w:val="en-US" w:eastAsia="zh-CN" w:bidi="ar"/>
        </w:rPr>
        <w:t xml:space="preserve">от 3 ноября 2022 г. N 02-17-08/107505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600" w:firstLineChars="250"/>
        <w:jc w:val="both"/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</w:t>
      </w:r>
      <w:bookmarkStart w:id="0" w:name="_GoBack"/>
      <w:bookmarkEnd w:id="0"/>
      <w:r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  <w:t xml:space="preserve">ассмотрел обращение Муниципального казенного учреждения от 06.10.2022 по вопросу разъяснения положений нормативных правовых актов, регулирующих казначейское сопровождение, и сообщает следующее.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600" w:firstLineChars="250"/>
        <w:jc w:val="both"/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  <w:t xml:space="preserve">В 2022 году казначейское сопровождение осуществляется в соответствии с положениями главы 24.4 Бюджетного кодекса Российской Федерации (далее - Бюджетный кодекс).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600" w:firstLineChars="250"/>
        <w:jc w:val="both"/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  <w:t xml:space="preserve">Статьей 242.26 Бюджетного кодекса установлено, что средства, подлежащие казначейскому сопровождению, источником финансового обеспечения которых являются средства бюджета субъекта Российской Федерации, определяются в том числе Федеральным законом от 06.12.2021 N 390-ФЗ "О федеральном бюджете на 2022 год и на плановый период 2023 и 2024 годов" (далее - Федеральный закон N 390-ФЗ).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600" w:firstLineChars="250"/>
        <w:jc w:val="both"/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  <w:t xml:space="preserve">Пунктом 2 части 3 статьи 5 Федерального закона N 390-ФЗ установлено, что казначейскому сопровождению в том числе подлежат субсидии юридическим лицам, источником финансового обеспечения которых являются бюджетные кредиты, предоставляемые из федерального бюджета бюджету субъекта Российской Федерации, на финансовое обеспечение реализации инфраструктурных проектов, правилами &lt;1&gt; предоставления которых предусмотрены условия об осуществлении Федеральным казначейством казначейского сопровождения указанных средств, а также расчеты по контрактам (договорам) о поставке товаров, выполнении работ, оказании услуг, заключаемым исполнителями и соисполнителями в рамках исполнения договоров (соглашений) о предоставлении указанных субсидий (далее соответственно - бюджетный кредит, контракты (договоры)).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600" w:firstLineChars="250"/>
        <w:jc w:val="both"/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600" w:firstLineChars="250"/>
        <w:jc w:val="both"/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  <w:t xml:space="preserve">Абзацем вторым подпункта 1 статьи 242.27 Бюджетного кодекса установлено, что 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 в том числе на основании контрактов (договоров), заключаемых в целях осуществления работ по технологическому присоединению принадлежащих участникам казначейского сопровождения инженерных сетей, коммуникаций, сооружений (далее - работы по технологическому присоединению).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600" w:firstLineChars="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/>
          <w:b w:val="0"/>
          <w:bCs w:val="0"/>
          <w:kern w:val="0"/>
          <w:sz w:val="24"/>
          <w:szCs w:val="24"/>
          <w:lang w:val="en-US" w:eastAsia="zh-CN"/>
        </w:rPr>
        <w:t xml:space="preserve">Учитывая изложенное, по мнению Департамента, контракты (договоры), заключаемые в целях осуществления работ по технологическому присоединению, источником финансового обеспечения которых являются средства бюджетного кредита, не подлежат казначейскому сопровождению. 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Директор Департамента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kern w:val="0"/>
          <w:sz w:val="24"/>
          <w:szCs w:val="24"/>
          <w:lang w:val="en-US" w:eastAsia="zh-CN" w:bidi="ar"/>
        </w:rPr>
        <w:t xml:space="preserve">С.В.РОМАНОВ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 xml:space="preserve">03.11.2022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2F6F"/>
    <w:rsid w:val="6FFD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2022-12-06T05:48:00Z</dcterms:created>
  <dc:creator>rahma</dc:creator>
  <cp:lastModifiedBy>rahma</cp:lastModifiedBy>
  <dcterms:modified xsi:type="dcterms:W3CDTF">2022-12-06T05:50:46Z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699E842A794E466DA579F504297E596F</vt:lpwstr>
  </property>
</Properties>
</file>