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SimSun" w:cs="Times New Roman"/>
          <w:b/>
          <w:bCs/>
          <w:kern w:val="0"/>
          <w:sz w:val="24"/>
          <w:szCs w:val="24"/>
          <w:lang w:val="en-US" w:eastAsia="zh-CN"/>
        </w:rPr>
      </w:pPr>
      <w:r>
        <w:rPr>
          <w:rFonts w:hint="default" w:ascii="Times New Roman" w:hAnsi="Times New Roman" w:eastAsia="SimSun" w:cs="Times New Roman"/>
          <w:b/>
          <w:bCs/>
          <w:kern w:val="0"/>
          <w:sz w:val="24"/>
          <w:szCs w:val="24"/>
          <w:lang w:val="en-US" w:eastAsia="zh-CN"/>
        </w:rPr>
        <w:t>ПИСЬМО</w:t>
      </w:r>
    </w:p>
    <w:p>
      <w:pPr>
        <w:jc w:val="center"/>
        <w:rPr>
          <w:rFonts w:hint="default" w:ascii="Times New Roman" w:hAnsi="Times New Roman" w:eastAsia="SimSun" w:cs="Times New Roman"/>
          <w:b/>
          <w:bCs/>
          <w:kern w:val="0"/>
          <w:sz w:val="24"/>
          <w:szCs w:val="24"/>
          <w:lang w:val="en-US" w:eastAsia="zh-CN"/>
        </w:rPr>
      </w:pPr>
      <w:r>
        <w:rPr>
          <w:rFonts w:hint="default" w:ascii="Times New Roman" w:hAnsi="Times New Roman" w:eastAsia="SimSun" w:cs="Times New Roman"/>
          <w:b/>
          <w:bCs/>
          <w:kern w:val="0"/>
          <w:sz w:val="24"/>
          <w:szCs w:val="24"/>
          <w:lang w:val="en-US" w:eastAsia="zh-CN"/>
        </w:rPr>
        <w:t>от 31 октября 2022 г. N 02-12-10/106003</w:t>
      </w:r>
    </w:p>
    <w:p>
      <w:pPr>
        <w:rPr>
          <w:rFonts w:hint="default" w:ascii="Arial" w:hAnsi="Arial" w:eastAsia="SimSun"/>
          <w:b/>
          <w:bCs/>
          <w:kern w:val="0"/>
          <w:sz w:val="24"/>
          <w:szCs w:val="24"/>
          <w:lang w:val="en-US" w:eastAsia="zh-CN"/>
        </w:rPr>
      </w:pPr>
      <w:r>
        <w:rPr>
          <w:rFonts w:hint="default" w:ascii="Arial" w:hAnsi="Arial" w:eastAsia="SimSun"/>
          <w:b/>
          <w:bCs/>
          <w:kern w:val="0"/>
          <w:sz w:val="24"/>
          <w:szCs w:val="24"/>
          <w:lang w:val="en-US" w:eastAsia="zh-CN"/>
        </w:rPr>
        <w:t xml:space="preserve">  </w:t>
      </w:r>
    </w:p>
    <w:p>
      <w:pPr>
        <w:ind w:left="0" w:leftChars="0" w:firstLine="998" w:firstLineChars="416"/>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Министерство финансов Российской Федерации рассмотрело обращение от 3 октября 2022 г. по вопросу перечисления средств с лицевого счета участника казначейского сопровождения, открытого исполнителю по государственному контракту в финансовом органе субъекта Российской Федерации, на расчетный счет, открытый в кредитной организации исполнителю по контракту (договору), заключенному на сумму менее 50 млн рублей в рамках исполнения государственного контракта, в целях оплаты обязательств по контракту (договору) (далее - лицевой счет, контракт (договор)), и сообщает следующее. </w:t>
      </w:r>
    </w:p>
    <w:p>
      <w:pPr>
        <w:ind w:left="0" w:leftChars="0" w:firstLine="998" w:firstLineChars="416"/>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 июня 2004 г. N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однако Минфину России не предоставлено право официального толкования законодательных или иных нормативных правовых актов. </w:t>
      </w:r>
    </w:p>
    <w:p>
      <w:pPr>
        <w:ind w:left="0" w:leftChars="0" w:firstLine="998" w:firstLineChars="416"/>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Согласно пункту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а также толкование норм, терминов и понятий по обращениям организаций, за исключением случаев, если на него возложена соответствующая обязанность. </w:t>
      </w:r>
    </w:p>
    <w:p>
      <w:pPr>
        <w:ind w:left="0" w:leftChars="0" w:firstLine="998" w:firstLineChars="416"/>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Статьей 242.26 Бюджетного кодекса Российской Федерации (далее - Бюджетный кодекс) установлено, что казначейскому сопровождению в соответствии с пунктом 5 статьи 242.23 Бюджетного кодекса подлежат средства, предоставляемые из бюджета субъекта Российской Федерации, определенные в том числе законом субъекта Российской Федерации о бюджете субъекта Российской Федерации. </w:t>
      </w:r>
    </w:p>
    <w:p>
      <w:pPr>
        <w:ind w:left="0" w:leftChars="0" w:firstLine="998" w:firstLineChars="416"/>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Положениями статьи 11 Закона Республики Башкортостан от 20 декабря 2021 года N 486-з "О бюджете Республики Башкортостан на 2022 год и на плановый период 2023 и 2024 годов" определены средства, подлежащие казначейскому сопровождению, в том числе расчеты по государственным контрактам (договорам) о поставке товаров, выполнении работ, оказании услуг, заключаемым на сумму 50 000 000,00 рублей и более, а также расчеты по контрактам (договорам), заключаемым в целях исполнения указанных государственных контрактов на сумму 50 000 000,00 рублей и более. </w:t>
      </w:r>
    </w:p>
    <w:p>
      <w:pPr>
        <w:ind w:left="0" w:leftChars="0" w:firstLine="998" w:firstLineChars="416"/>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Учитывая изложенное, расчеты по контрактам (договорам), заключаемым на сумму менее 50 млн рублей, не подлежат казначейскому сопровождению. </w:t>
      </w:r>
    </w:p>
    <w:p>
      <w:pPr>
        <w:ind w:left="0" w:leftChars="0" w:firstLine="998" w:firstLineChars="416"/>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Оплата обязательств по такому контракту (договору) осуществляется путем перечисления средств с лицевого счета, открытого исполнителю по государственному контракту, на расчетный счет, открытый исполнителю по контракту (договору) в кредитной организации, при представлении в финансовый орган субъекта Российской Федерации документов, подтверждающих исполнение обязательств по контракту (договору). </w:t>
      </w:r>
    </w:p>
    <w:p>
      <w:pPr>
        <w:ind w:left="0" w:leftChars="0" w:firstLine="998" w:firstLineChars="416"/>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Частью 42 статьи 10 Федерального закона N 384-ФЗ &lt;1&gt; (в редакции Федерального закона N 146-ФЗ &lt;2&gt;) установлено, что в 2022 году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или нормативным 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могут быть определены средства, подлежащие казначейскому сопровождению, предоставляемые из бюджета субъекта Российской Федерации (местного бюджета) на основании заключаемых на сумму менее 50 миллионов рублей государственных (муниципальных) контрактов, контрактов (договоров) бюджетных или автономных учреждений субъектов Российской Федерации (муниципальных бюджетных или автономных учреждений). </w:t>
      </w:r>
    </w:p>
    <w:p>
      <w:pPr>
        <w:ind w:left="0" w:leftChars="0" w:firstLine="998" w:firstLineChars="416"/>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  </w:t>
      </w:r>
    </w:p>
    <w:p>
      <w:pPr>
        <w:ind w:left="0" w:leftChars="0" w:firstLine="998" w:firstLineChars="416"/>
        <w:jc w:val="right"/>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А.М.ЛАВРОВ </w:t>
      </w:r>
    </w:p>
    <w:p>
      <w:pPr>
        <w:jc w:val="left"/>
        <w:rPr>
          <w:rFonts w:hint="default" w:ascii="Times New Roman" w:hAnsi="Times New Roman" w:cs="Times New Roman"/>
          <w:b w:val="0"/>
          <w:bCs w:val="0"/>
          <w:sz w:val="24"/>
          <w:szCs w:val="24"/>
        </w:rPr>
      </w:pPr>
      <w:bookmarkStart w:id="0" w:name="_GoBack"/>
      <w:bookmarkEnd w:id="0"/>
      <w:r>
        <w:rPr>
          <w:rFonts w:hint="default" w:ascii="Times New Roman" w:hAnsi="Times New Roman" w:eastAsia="SimSun" w:cs="Times New Roman"/>
          <w:b w:val="0"/>
          <w:bCs w:val="0"/>
          <w:kern w:val="0"/>
          <w:sz w:val="24"/>
          <w:szCs w:val="24"/>
          <w:lang w:val="en-US" w:eastAsia="zh-CN"/>
        </w:rPr>
        <w:t xml:space="preserve">31.10.2022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913ED"/>
    <w:rsid w:val="1DF91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2022-12-06T06:24:00Z</dcterms:created>
  <dc:creator>rahma</dc:creator>
  <cp:lastModifiedBy>rahma</cp:lastModifiedBy>
  <dcterms:modified xsi:type="dcterms:W3CDTF">2022-12-06T06:28:19Z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696E111EACFF4FA9A867751523D7ED40</vt:lpwstr>
  </property>
</Properties>
</file>