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 xml:space="preserve">МИНИСТЕРСТВО ФИНАНСОВ 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 xml:space="preserve">ПИСЬМО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 xml:space="preserve">от 30 декабря 2020 г. N 02-07-07/116657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письма от 03.12.2020, от 15.12.2020 по вопросам проведения проверки соответствия формы и содержания актов о приемке выполненных работ унифицированной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"https://login.consultant.ru/link/?req=doc&amp;demo=2&amp;base=LAW&amp;n=26303&amp;dst=100168&amp;field=134&amp;date=15.12.2022"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формы N КС-2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1 и N 2, справки о стоимости выполненных работ и затрат унифицированной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"https://login.consultant.ru/link/?req=doc&amp;demo=2&amp;base=LAW&amp;n=26303&amp;dst=100254&amp;field=134&amp;date=15.12.2022"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формы N КС-3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35 законодательству и иным нормативным правовым актам, регулирующим вопросы отчетности в сфере строительства; соответствия законодательству и иным нормативным правовым актам, регулирующим вопросы отчетности в сфере строительства, включения в акты о приемке выполненных работ унифицированной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"https://login.consultant.ru/link/?req=doc&amp;demo=2&amp;base=LAW&amp;n=26303&amp;dst=100168&amp;field=134&amp;date=15.12.2022"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формы N КС-2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1 и N 2 и в справку о стоимости выполненных работ и затрат унифицированной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"https://login.consultant.ru/link/?req=doc&amp;demo=2&amp;base=LAW&amp;n=26303&amp;dst=100254&amp;field=134&amp;date=15.12.2022"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формы N КС-3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35 несмонтированного оборудования и материалов без выполнения строительно-монтажных работ и сообщает.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соответствии с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"https://login.consultant.ru/link/?req=doc&amp;demo=2&amp;base=LAW&amp;n=369159&amp;dst=57&amp;field=134&amp;date=15.12.2022"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положением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о Министерстве строительства и жилищно-коммунального хозяйства Российской Федерации (далее - Минстрой России), утвержденным постановлением Правительства Российской Федерации от 18.11.2013 N 1038, Минстрой России является федеральным органом исполнительной власти, осуществляющим государственное регулирование в области строительства.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Вместе с этим Департамент считает возможным высказать позицию относительно применения первичных учетных документов и отражения в учете объектов бухгалтерского учета (активов и обязательств, подтвержденных первичными учетными документами).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соответствии со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"https://login.consultant.ru/link/?req=doc&amp;demo=2&amp;base=LAW&amp;n=327805&amp;dst=100166&amp;field=134&amp;date=15.12.2022"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статьей 19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Федерального закона N 402-ФЗ экономический субъект обязан организовать и осуществлять внутренний контроль совершаемых фактов хозяйственной жизни, в том числе возникающих при осуществлении закупок для строительных работ.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соответствии с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"https://login.consultant.ru/link/?req=doc&amp;demo=2&amp;base=LAW&amp;n=365978&amp;dst=100023&amp;field=134&amp;date=15.12.2022"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положением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о Министерстве финансов Российской Федерации (далее - Минфин России), утвержденным постановлением Правительства Российской Федерации от 30.06.2004 N 329, Минфин России не наделен полномочиями проведения проверок в отношении получателей бюджетных средств, в частности направленных на оценку полноты и правомерности исполнения ими бюджетных полномочий (правомерности исполнения Федеральной службой охраны России (далее - ФСО) обязательств, принятых за счет средств федерального бюджета).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Методология бюджетного учета определена федеральным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"https://login.consultant.ru/link/?req=doc&amp;demo=2&amp;base=LAW&amp;n=362262&amp;dst=100011&amp;field=134&amp;date=15.12.2022"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стандартом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бухгалтерского учета "Концептуальные основы бухгалтерского учета и отчетности организаций государственного сектора", утвержденным приказом Минфина России от 31.12.2016 N 256н (далее - СГС Концептуальные основы),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"https://login.consultant.ru/link/?req=doc&amp;demo=2&amp;base=LAW&amp;n=366900&amp;date=15.12.2022"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приказом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"https://login.consultant.ru/link/?req=doc&amp;demo=2&amp;base=LAW&amp;n=362627&amp;date=15.12.2022"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приказом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N 52н), и иными федеральными стандартами бухгалтерского учета государственных финансов.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Согласно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"https://login.consultant.ru/link/?req=doc&amp;demo=2&amp;base=LAW&amp;n=362262&amp;dst=100065&amp;field=134&amp;date=15.12.2022"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пункту 20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СГС Концептуальные основы факты хозяйственной жизни отражаются в бухгалтерском учете на основании первичных учетных документов и (или) сводных учетных документов.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Первичные (сводные) учетные документы, согласно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"https://login.consultant.ru/link/?req=doc&amp;demo=2&amp;base=LAW&amp;n=362262&amp;dst=100066&amp;field=134&amp;date=15.12.2022"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пункту 21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СГС Концептуальные основы, должны составляться в момент совершения фактов хозяйственной жизни.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К бухгалтерскому учету принимаются первичные (сводные) учетные документы,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 (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"https://login.consultant.ru/link/?req=doc&amp;demo=2&amp;base=LAW&amp;n=362262&amp;dst=100069&amp;field=134&amp;date=15.12.2022"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 23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СГС Концептуальные основы). При формировании первичных учетных документов к бухгалтерскому балансу принимаются документы, составленные по унифицированной форме (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"https://login.consultant.ru/link/?req=doc&amp;demo=2&amp;base=LAW&amp;n=362262&amp;dst=100072&amp;field=134&amp;date=15.12.2022"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 25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СГС Концептуальные основы).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"https://login.consultant.ru/link/?req=doc&amp;demo=2&amp;base=LAW&amp;n=362627&amp;dst=100018&amp;field=134&amp;date=15.12.2022"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Перечень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унифицированных форм первичных учетных документов,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 Приказом N 52н.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"https://login.consultant.ru/link/?req=doc&amp;demo=2&amp;base=LAW&amp;n=362627&amp;date=15.12.2022"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Приказе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52н унифицированные формы документов по принятию результатов строительных работ по государственному контракту не установлены. Приказами Минфина России не регламентируются обязанность применения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"https://login.consultant.ru/link/?req=doc&amp;demo=2&amp;base=LAW&amp;n=26303&amp;dst=100168&amp;field=134&amp;date=15.12.2022"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форм N КС-2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"https://login.consultant.ru/link/?req=doc&amp;demo=2&amp;base=LAW&amp;n=26303&amp;dst=100254&amp;field=134&amp;date=15.12.2022"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N КС-3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и порядок их заполнения. При этом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"https://login.consultant.ru/link/?req=doc&amp;demo=2&amp;base=LAW&amp;n=26303&amp;dst=100168&amp;field=134&amp;date=15.12.2022"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формы N КС-2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"https://login.consultant.ru/link/?req=doc&amp;demo=2&amp;base=LAW&amp;n=26303&amp;dst=100254&amp;field=134&amp;date=15.12.2022"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N КС-3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не относятся к обязательным унифицированным документам согласно нормативным правовым актам, регулирующим ведение бухгалтерского учета государственных финансов.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Исполнителем государственного контракта, не являющимся учреждением (организацией) бюджетной сферы, положения нормативных правовых актов, регулирующих ведение бухгалтерского учета государственных финансов, в частности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"https://login.consultant.ru/link/?req=doc&amp;demo=2&amp;base=LAW&amp;n=362627&amp;date=15.12.2022"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Приказа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52н, не распространяются.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соответствии со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"https://login.consultant.ru/link/?req=doc&amp;demo=2&amp;base=LAW&amp;n=327805&amp;dst=100078&amp;field=134&amp;date=15.12.2022"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статьей 9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Федерального закона от 06.12.2011 N 402-ФЗ "О бухгалтерском учете" при оформлении первичных учетных документов заполняются обязательные реквизиты, формы первичных учетных документов определяет руководитель экономического субъекта по представлению должностного лица, на которое возложено ведение бухгалтерского учета.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В рассматриваемом в запросе случае применение форм документов согласно обычаю делового оборота (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"https://login.consultant.ru/link/?req=doc&amp;demo=2&amp;base=LAW&amp;n=26303&amp;dst=100168&amp;field=134&amp;date=15.12.2022"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N КС-2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"https://login.consultant.ru/link/?req=doc&amp;demo=2&amp;base=LAW&amp;n=26303&amp;dst=100254&amp;field=134&amp;date=15.12.2022"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N КС-3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), по мнению Департамента, не противоречит нормат</w:t>
      </w:r>
      <w:bookmarkStart w:id="0" w:name="_GoBack"/>
      <w:bookmarkEnd w:id="0"/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ивным правовым актам, регулирующим ведение бухгалтерского учета государственных финансов.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Заместитель директора Департамента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бюджетной методологии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и финансовой отчетности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в государственном секторе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С.В.СИВЕЦ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30.12.2020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 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73F19"/>
    <w:rsid w:val="230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2022-12-15T06:10:00Z</dcterms:created>
  <dc:creator>rahma</dc:creator>
  <cp:lastModifiedBy>rahma</cp:lastModifiedBy>
  <dcterms:modified xsi:type="dcterms:W3CDTF">2022-12-15T06:15:59Z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18F43A1D82FD40498606C9B6DE001915</vt:lpwstr>
  </property>
</Properties>
</file>