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rPr>
      </w:pPr>
    </w:p>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w:t>
      </w:r>
    </w:p>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от 20 апреля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02-17-10/36341</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both"/>
        <w:rPr>
          <w:rFonts w:hint="default" w:ascii="Times New Roman" w:hAnsi="Times New Roman"/>
          <w:color w:val="auto"/>
          <w:sz w:val="24"/>
          <w:szCs w:val="24"/>
        </w:rPr>
      </w:pPr>
      <w:bookmarkStart w:id="0" w:name="_GoBack"/>
      <w:r>
        <w:rPr>
          <w:rFonts w:hint="default" w:ascii="Times New Roman" w:hAnsi="Times New Roman"/>
          <w:color w:val="auto"/>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в связи с обращением от 23 марта 2023 г., поступившим через официальный сайт Министерства финансов Российской Федерации, а также обращением от 23 марта 2023 г. рассмотрел письма ООО от 23 марта 2023 г. по вопросу перечисления прибыли поставщика по государственному контракту или контракту (договору), заключенному в рамках исполнения государственного контракта (далее - контракт (договор)), с лицевого счета участника казначейского сопровождения, открытого ему в территориальном органе Федерального казначейства, на расчетный счет, открытый ему в кредитной организации (далее соответственно - лицевой счет, расчетный счет), сообщает следующее.</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ситуаций.</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со статьей 4 Федерального закона от 02.05.2006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59-ФЗ "О порядке рассмотрения обращений граждан Российской Федерации" рассмотрению подлежат следующие виды обращений граждан:</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Содержащийся в обращении вопрос не соответствует приведенным видам обращений граждан, подлежащих рассмотрению федеральными органами государственной власти.</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Вместе с тем Департамент считает возможным выразить свою позицию по поставленным в обращении вопросам.</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Казначейское сопровождение осуществляется в соответствии с положениями главы 24.4 Бюджетного кодекса Российской Федерации (далее - Бюджетный кодекс) и Правилами казначейского сопровождения, утвержденными Постановлением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2024 </w:t>
      </w:r>
      <w:r>
        <w:rPr>
          <w:rFonts w:hint="default" w:ascii="Times New Roman" w:hAnsi="Times New Roman"/>
          <w:color w:val="auto"/>
          <w:sz w:val="24"/>
          <w:szCs w:val="24"/>
        </w:rPr>
        <w:t>"О правилах казначейского сопровождения"</w:t>
      </w:r>
      <w:r>
        <w:rPr>
          <w:rFonts w:hint="default" w:ascii="Times New Roman" w:hAnsi="Times New Roman"/>
          <w:color w:val="auto"/>
          <w:sz w:val="24"/>
          <w:szCs w:val="24"/>
        </w:rPr>
        <w:t>.</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 пунктом 2 статьи 242.23 Бюджетного кодекса операции со средствами, подлежащими казначейскому сопровождению (далее - целевые средства), осуществляются на казначейских счетах, открытых в территориальных органах Федерального казначейства, и отражаются на лицевых счетах после проведения территориальным органом Федерального казначейства санкционирования в соответствии с Порядком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214н </w:t>
      </w:r>
      <w:r>
        <w:rPr>
          <w:rFonts w:hint="default" w:ascii="Times New Roman" w:hAnsi="Times New Roman"/>
          <w:color w:val="auto"/>
          <w:sz w:val="24"/>
          <w:szCs w:val="24"/>
        </w:rPr>
        <w:t xml:space="preserve">осуществления территориальными органами Федерального казначейского санкционирования операций со средствами участников казначейского сопровождения, утвержденный приказом Минфина (далее - Порядок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214н)</w:t>
      </w:r>
      <w:r>
        <w:rPr>
          <w:rFonts w:hint="default" w:ascii="Times New Roman" w:hAnsi="Times New Roman"/>
          <w:color w:val="auto"/>
          <w:sz w:val="24"/>
          <w:szCs w:val="24"/>
        </w:rPr>
        <w:t>. </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Согласно пунктам 4 и 21 Порядка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214н санкционирование расходов, источником финансового обеспечения которых являются целевые средства, осуществляется в соответствии со Сведениями об операциях с целевыми средствами на 20__ год и на плановый период 20__ - 20__ годов (далее - Сведения), в которых указываются источники поступлений целевых средств, а также направления их расходования, соответствующие предмету и условиям контракта (договора), при представлении участником казначейского сопровождения в территориальный орган Федерального казначейства вместе с распоряжением о совершении казначейского платежа на оплату указанных расходов (далее - распоряжение) государственного контракта, контракта (договора) и документов, подтверждающих возникновение денежного обязательства.</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Абзацем шестым подпункта "а" пункта 20 Порядка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214н установлено, что территориальный орган Федерального казначейства не принимает к исполнению распоряжения участника казначейского сопровождения на перечисление целевых средств на расчетные счета, за исключением выплаты прибыли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(этапов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Так, при выплате прибыли по государственному контракту, контракту (договору) в Сведениях указывается укрупненный код направления расходования целевых средств 0999 "Выплата прибыли". В распоряжении при этом указывается детализированный код направления расходования целевых средств 0999 001 "Выплата прибыли, осуществляемая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(этапу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 и при предоставлении участником казначейского сопровождения документов-оснований)".</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В соответствии с пунктом 16 Правил казначейского сопровождения при казначейском сопровождении целевых средств, предоставляемых по государственным контрактам, заключаемым с единственным поставщиком (подрядчиком, исполнителем), а также по контрактам (договорам), заключаемым в целях исполнения указанных государственных контрактов, условия таких государственных контрактов, контрактов (договоров) предусматривают в том числе:</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контракту, на его расчетный счет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условиях государственного контракта в составе цены товаров (работ, услуг) в случае частичного исполнения государственного контракта, заключаемого с единственным поставщиком (подрядчиком, исполнителем), если результатом такого частичного исполнения являются принятые государственным заказчиком товары (работы, услуги);</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б) перечисление прибыли по контракту (договору), заключенному в рамках исполнения государственного контракта с единственным поставщиком (подрядчиком, исполнителем), на расчетный счет исполнителя (соисполнителя)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Положениями Федерального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w:t>
      </w:r>
      <w:r>
        <w:rPr>
          <w:rFonts w:hint="default" w:ascii="Times New Roman" w:hAnsi="Times New Roman"/>
          <w:color w:val="auto"/>
          <w:sz w:val="24"/>
          <w:szCs w:val="24"/>
        </w:rPr>
        <w:t xml:space="preserve">"О контрактной системе в сфере закупок товаров, работ, услуг для обеспечения государственных и муниципальных нужд" (далее - Федеральный закон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r>
        <w:rPr>
          <w:rFonts w:hint="default" w:ascii="Times New Roman" w:hAnsi="Times New Roman"/>
          <w:color w:val="auto"/>
          <w:sz w:val="24"/>
          <w:szCs w:val="24"/>
        </w:rPr>
        <w:t xml:space="preserve"> не установлены предельные значения размера прибыли. Вместе с тем указанным федеральным законом регулируется порядок определения и обоснования начальной (максимальной) цены контракта и в предусмотренных указанным федеральным законом случаях цены контракта, заключаемого с единственным поставщиком (далее - НМЦК), посредством применения методов, поименованных статьей 22 Федерального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Так, в соответствии с частью 10 статьи 22 Федерального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при определении НМЦК затратным методом возможно учитывать в сумме произведенных затрат обычную для определенной сферы деятельности прибыль.</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Учитывая изложенное, прибыль по государственному контракту с единственным поставщиком, контракту (договору) перечисляется в размере, определенном сторонами соответствующего контракта (договора). При этом, по мнению Минфина России, размер прибыли может быть установлен как в виде зафиксированной величины, так и в виде предельно допустимого значения.</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Учитывая изложенное, по мнению Департамента, перечисление прибыли по государственному контракту, контракту (договору) с лицевого счета на расчетный счет осуществляется в соответствии с вышеприведенными положениями нормативных правовых актов.</w:t>
      </w:r>
    </w:p>
    <w:bookmarkEnd w:id="0"/>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Директор Департамента</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С.В.РОМАНОВ</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20.04.2023</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50D1"/>
    <w:rsid w:val="02CB6995"/>
    <w:rsid w:val="16AA5CBE"/>
    <w:rsid w:val="269424E9"/>
    <w:rsid w:val="4C7450D1"/>
    <w:rsid w:val="525A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2023-06-26T03:59:00Z</dcterms:created>
  <dc:creator>rahma</dc:creator>
  <cp:lastModifiedBy>rahma</cp:lastModifiedBy>
  <dcterms:modified xsi:type="dcterms:W3CDTF">2023-06-26T05:52:58Z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5D892EFEF1704E3B9E9206DEC9C3E862</vt:lpwstr>
  </property>
</Properties>
</file>