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color w:val="auto"/>
          <w:lang w:val="ru-RU"/>
        </w:rPr>
      </w:pPr>
      <w:r>
        <w:rPr>
          <w:rFonts w:hint="default"/>
          <w:b/>
          <w:bCs/>
          <w:color w:val="auto"/>
        </w:rPr>
        <w:t xml:space="preserve">Письмо Минфина России от 14 марта 2023 г. </w:t>
      </w:r>
      <w:r>
        <w:rPr>
          <w:rFonts w:hint="default"/>
          <w:b/>
          <w:bCs/>
          <w:color w:val="auto"/>
          <w:lang w:val="ru-RU"/>
        </w:rPr>
        <w:t>№</w:t>
      </w:r>
      <w:r>
        <w:rPr>
          <w:rFonts w:hint="default"/>
          <w:b/>
          <w:bCs/>
          <w:color w:val="auto"/>
        </w:rPr>
        <w:t xml:space="preserve"> 02-11-08/21043 О привлечении в 2023 г. собственных средств федеральных автономных учреждений, являющихся головными исполнителями (исполнителями) по государственным контрактам (контрактам), заключенным в целях реализации государственного оборонного заказа</w:t>
      </w:r>
      <w:r>
        <w:rPr>
          <w:rFonts w:hint="default"/>
          <w:b/>
          <w:bCs/>
          <w:color w:val="auto"/>
          <w:lang w:val="ru-RU"/>
        </w:rPr>
        <w:t>.</w:t>
      </w:r>
    </w:p>
    <w:p>
      <w:pPr>
        <w:rPr>
          <w:rFonts w:hint="default"/>
          <w:color w:val="auto"/>
        </w:rPr>
      </w:pP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>Департамент бюджетной методологии и финансовой отчетности в государственном сектор</w:t>
      </w:r>
      <w:bookmarkStart w:id="0" w:name="_GoBack"/>
      <w:bookmarkEnd w:id="0"/>
      <w:r>
        <w:rPr>
          <w:rFonts w:hint="default"/>
          <w:color w:val="auto"/>
        </w:rPr>
        <w:t xml:space="preserve">е Министерства финансов Российской Федерации (далее - Департамент) рассмотрел обращение, направленное письмом Федерального казначейства от 10 февраля 2023 г.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05-01-15/3512, по вопросу привлечения в 2023 году собственных средств федеральных автономных учреждений, являющихся головными исполнителями (исполнителями) по государственным контрактам (контрактам), заключенным в целях реализации государственного оборонного заказа, и сообщает.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В соответствии с положениями части 31 статьи 9 Закона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448-ФЗ 1 в 2023 году операции со средствами субсидий и средствами от приносящей доход деятельности, получаемыми федеральными автономными учреждениями, осуществляются на казначейских счетах для осуществления и отражения операций с денежными средствами бюджетных и автономных учреждений и отражаются на соответствующих лицевых счетах, открытых федеральным автономным учреждениям в территориальном органе Федерального казначейства в порядке, установленном Федеральным казначейством.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Положениями части 30 статьи 9 Закона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 xml:space="preserve"> 448-ФЗ установлен запрет на перечисление средств с лицевых счетов, открытых федеральным автономным учреждениям, указанным в части 31 статьи 9 Закона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448-ФЗ, на счета, открытые в учреждении Центрального банка Российской Федерации или кредитной организации указанным федеральным автономным учреждениям.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При этом согласно положениям пункта 7 статьи 7 Федерального закона от 29 декабря 2012 г.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 xml:space="preserve"> 275-ФЗ "О государственном оборонном заказе" (далее - Закон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275-ФЗ) государственный заказчик использует для расчетов по государственному контракту, заключенному в целях реализации государственного оборонного заказа (далее - государственный контракт ГОЗ), только отдельный счет, открытый в уполномоченном банке головному исполнителю, с которым у государственного заказчика заключен государственный контракт ГОЗ, при наличии у такого головного исполнителя договора о банковском сопровождении, заключенного с уполномоченным банком.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Пунктом 2 части 1 статьи 8 Закона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275-ФЗ установлена обязанность головного исполнителя по государственному контракту ГОЗ по согласованию с государственным заказчиком выбирать уполномоченный банк и заключать с ним договор о банковском сопровождении.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Кроме того, положениями пункта 7 части 1 статьи 8 Закона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275-ФЗ установлена обязанность головного исполнителя по государственному контракту ГОЗ использовать для расчетов по контрактам, заключенным головным исполнителем с исполнителями на поставки продукции, необходимой головному исполнителю для выполнения государственного оборонного заказа, только отдельные счета, открытые исполнителям в уполномоченном банке.</w:t>
      </w:r>
    </w:p>
    <w:p>
      <w:pPr>
        <w:rPr>
          <w:rFonts w:hint="default"/>
          <w:color w:val="auto"/>
        </w:rPr>
      </w:pPr>
      <w:r>
        <w:rPr>
          <w:rFonts w:hint="default"/>
          <w:color w:val="auto"/>
        </w:rPr>
        <w:t xml:space="preserve">Принимая во внимание требования, установленные Законом </w:t>
      </w:r>
      <w:r>
        <w:rPr>
          <w:rFonts w:hint="default"/>
          <w:color w:val="auto"/>
          <w:lang w:val="ru-RU"/>
        </w:rPr>
        <w:t>№</w:t>
      </w:r>
      <w:r>
        <w:rPr>
          <w:rFonts w:hint="default"/>
          <w:color w:val="auto"/>
        </w:rPr>
        <w:t> 275-ФЗ, по мнению Департамента, федеральные автономные учреждения, являющиеся головными исполнителями по государственным контрактам ГОЗ, могут заключать с уполномоченным банком договор о банковском сопровождении и осуществлять расчеты по указанным государственным контрактам ГОЗ с использованием отдельных счетов, открытых в данном банке.</w:t>
      </w:r>
    </w:p>
    <w:p>
      <w:pPr>
        <w:rPr>
          <w:rFonts w:hint="default"/>
          <w:color w:val="auto"/>
        </w:rPr>
      </w:pPr>
    </w:p>
    <w:p>
      <w:pPr>
        <w:rPr>
          <w:color w:val="auto"/>
        </w:rPr>
      </w:pPr>
      <w:r>
        <w:rPr>
          <w:rFonts w:hint="default"/>
          <w:color w:val="auto"/>
        </w:rPr>
        <w:t>Врио директора Департамента</w:t>
      </w:r>
      <w:r>
        <w:rPr>
          <w:rFonts w:hint="default"/>
          <w:color w:val="auto"/>
        </w:rPr>
        <w:tab/>
      </w:r>
      <w:r>
        <w:rPr>
          <w:rFonts w:hint="default"/>
          <w:color w:val="auto"/>
        </w:rPr>
        <w:t>Е.В. Глимбовская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CYR">
    <w:altName w:val="Times New Roman"/>
    <w:panose1 w:val="00000000000000000000"/>
    <w:charset w:val="CC"/>
    <w:family w:val="auto"/>
    <w:pitch w:val="default"/>
    <w:sig w:usb0="00000000" w:usb1="00000000" w:usb2="00000000" w:usb3="00000000" w:csb0="00000004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E4ECA"/>
    <w:rsid w:val="02DE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99" w:semiHidden="0" w:name="Normal"/>
    <w:lsdException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  <w:ind w:firstLine="720"/>
      <w:jc w:val="both"/>
    </w:pPr>
    <w:rPr>
      <w:rFonts w:hint="default" w:ascii="Times New Roman CYR" w:hAnsi="Times New Roman CYR" w:eastAsia="Times New Roman CYR" w:cs="Times New Roman"/>
      <w:sz w:val="24"/>
      <w:szCs w:val="24"/>
    </w:rPr>
  </w:style>
  <w:style w:type="paragraph" w:styleId="2">
    <w:name w:val="heading 1"/>
    <w:basedOn w:val="1"/>
    <w:next w:val="1"/>
    <w:unhideWhenUsed/>
    <w:uiPriority w:val="99"/>
    <w:pPr>
      <w:spacing w:before="108" w:beforeLines="0" w:after="108" w:afterLines="0"/>
      <w:ind w:firstLine="0"/>
      <w:jc w:val="center"/>
    </w:pPr>
    <w:rPr>
      <w:rFonts w:hint="default"/>
      <w:b/>
      <w:color w:val="26282F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Гипертекстовая ссылка"/>
    <w:basedOn w:val="6"/>
    <w:unhideWhenUsed/>
    <w:qFormat/>
    <w:uiPriority w:val="99"/>
    <w:rPr>
      <w:rFonts w:hint="default"/>
      <w:b w:val="0"/>
      <w:color w:val="106BBE"/>
      <w:sz w:val="24"/>
      <w:szCs w:val="24"/>
    </w:rPr>
  </w:style>
  <w:style w:type="character" w:customStyle="1" w:styleId="6">
    <w:name w:val="Цветовое выделение"/>
    <w:unhideWhenUsed/>
    <w:qFormat/>
    <w:uiPriority w:val="99"/>
    <w:rPr>
      <w:rFonts w:hint="default"/>
      <w:b/>
      <w:color w:val="26282F"/>
      <w:sz w:val="24"/>
      <w:szCs w:val="24"/>
    </w:rPr>
  </w:style>
  <w:style w:type="paragraph" w:customStyle="1" w:styleId="7">
    <w:name w:val="Прижатый влево"/>
    <w:basedOn w:val="1"/>
    <w:next w:val="1"/>
    <w:unhideWhenUsed/>
    <w:qFormat/>
    <w:uiPriority w:val="99"/>
    <w:pPr>
      <w:spacing w:beforeLines="0" w:afterLines="0"/>
      <w:ind w:firstLine="0"/>
      <w:jc w:val="left"/>
    </w:pPr>
    <w:rPr>
      <w:rFonts w:hint="default"/>
      <w:sz w:val="24"/>
      <w:szCs w:val="24"/>
    </w:rPr>
  </w:style>
  <w:style w:type="paragraph" w:customStyle="1" w:styleId="8">
    <w:name w:val="Нормальный (таблица)"/>
    <w:basedOn w:val="1"/>
    <w:next w:val="1"/>
    <w:unhideWhenUsed/>
    <w:qFormat/>
    <w:uiPriority w:val="99"/>
    <w:pPr>
      <w:spacing w:beforeLines="0" w:afterLines="0"/>
      <w:ind w:firstLine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2023-06-23T06:56:00Z</dcterms:created>
  <dc:creator>rahma</dc:creator>
  <cp:lastModifiedBy>rahma</cp:lastModifiedBy>
  <dcterms:modified xsi:type="dcterms:W3CDTF">2023-06-23T07:07:41Z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6A5C48501967404BB9D1204A10B9E4FF</vt:lpwstr>
  </property>
</Properties>
</file>