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1002" w:firstLineChars="416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</w:rPr>
        <w:t>МИНИСТЕРСТВО ФИНАНСОВ РОССИЙСКОЙ ФЕДЕРАЦИИ</w:t>
      </w:r>
    </w:p>
    <w:p>
      <w:pPr>
        <w:ind w:left="0" w:leftChars="0" w:firstLine="1002" w:firstLineChars="416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</w:rPr>
      </w:pPr>
    </w:p>
    <w:p>
      <w:pPr>
        <w:ind w:left="0" w:leftChars="0" w:firstLine="1002" w:firstLineChars="416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</w:rPr>
        <w:t>ПИСЬМО</w:t>
      </w:r>
    </w:p>
    <w:p>
      <w:pPr>
        <w:ind w:left="0" w:leftChars="0" w:firstLine="1002" w:firstLineChars="416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</w:rPr>
        <w:t xml:space="preserve">от 26 апреля 2023 г. </w:t>
      </w:r>
      <w:r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b/>
          <w:bCs/>
          <w:color w:val="auto"/>
          <w:sz w:val="24"/>
          <w:szCs w:val="24"/>
        </w:rPr>
        <w:t xml:space="preserve"> 02-05-11/38500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 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bookmarkStart w:id="0" w:name="_GoBack"/>
      <w:r>
        <w:rPr>
          <w:rFonts w:hint="default" w:ascii="Times New Roman" w:hAnsi="Times New Roman"/>
          <w:color w:val="auto"/>
          <w:sz w:val="24"/>
          <w:szCs w:val="24"/>
        </w:rPr>
        <w:t>Департамент бюджетной методологии и финансовой отчетности в государственном секторе Министерства финансов Российской Федерации (далее - Департамент), рассмотрев обращение, сообщает.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Применение в 2023 году подразделов классификации расходов бюджетов осуществляется и соответствии с Порядком формирования и применения кодов бюджетной классификации Российской Федерации, их структурой к принципами назначения, утвержденными приказом Министерства финансов Российской Федерации от 24 мая 2022 г.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82н (далее - Порядок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82н).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Основываясь на требованиях Порядка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82н, Департамент полагает, что расходы на закупки, осуществляемые в соответствии с постановлением Правительства Российской Федерации от 3 октября 2022 г.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1745 "О специальной мере в сфере экономики и внесении изменения в постановление Правительства Российской Федерации от 30 апреля 2020 г.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616" в целях обеспечения проведения Вооруженными Силами Российской Федерации, другими войсками, воинскими формированиями и органами контртеррористических и иных операций за пределами территории Российской Федерации, не связанные при этом с проведением мобилизационных мероприятий, следует отражать по подразделу 0209 "Другие вопросы в области национальной обороны" классификации расходов бюджетов.</w:t>
      </w:r>
    </w:p>
    <w:bookmarkEnd w:id="0"/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 </w:t>
      </w:r>
    </w:p>
    <w:p>
      <w:pPr>
        <w:ind w:left="0" w:leftChars="0" w:firstLine="998" w:firstLineChars="416"/>
        <w:jc w:val="right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Директор Департамента</w:t>
      </w:r>
    </w:p>
    <w:p>
      <w:pPr>
        <w:ind w:left="0" w:leftChars="0" w:firstLine="998" w:firstLineChars="416"/>
        <w:jc w:val="right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С.В.РОМАНОВ</w:t>
      </w:r>
    </w:p>
    <w:p>
      <w:pPr>
        <w:ind w:left="0" w:leftChars="0" w:firstLine="998" w:firstLineChars="416"/>
        <w:jc w:val="right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26.04.2023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7450D1"/>
    <w:rsid w:val="4C74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2023-06-26T03:59:00Z</dcterms:created>
  <dc:creator>rahma</dc:creator>
  <cp:lastModifiedBy>rahma</cp:lastModifiedBy>
  <dcterms:modified xsi:type="dcterms:W3CDTF">2023-06-26T04:47:03Z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0D12C1EC0ECF4DFD80253A2E7BA741AA</vt:lpwstr>
  </property>
</Properties>
</file>