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firstLine="802" w:firstLineChars="333"/>
        <w:jc w:val="center"/>
        <w:rPr>
          <w:rFonts w:hint="default" w:ascii="Times New Roman" w:hAnsi="Times New Roman"/>
          <w:b/>
          <w:bCs/>
          <w:color w:val="auto"/>
          <w:sz w:val="24"/>
          <w:szCs w:val="24"/>
          <w:lang w:val="ru-RU"/>
        </w:rPr>
      </w:pPr>
      <w:r>
        <w:rPr>
          <w:rFonts w:hint="default" w:ascii="Times New Roman" w:hAnsi="Times New Roman"/>
          <w:b/>
          <w:bCs/>
          <w:color w:val="auto"/>
          <w:sz w:val="24"/>
          <w:szCs w:val="24"/>
          <w:lang w:val="ru-RU"/>
        </w:rPr>
        <w:t>МИНИСТЕРСТВО ФИНАНСОВ РОССИЙСКОЙ ФЕДЕРАЦИИ</w:t>
      </w:r>
    </w:p>
    <w:p>
      <w:pPr>
        <w:ind w:left="0" w:leftChars="0" w:firstLine="802" w:firstLineChars="333"/>
        <w:jc w:val="center"/>
        <w:rPr>
          <w:rFonts w:hint="default" w:ascii="Times New Roman" w:hAnsi="Times New Roman"/>
          <w:b/>
          <w:bCs/>
          <w:color w:val="auto"/>
          <w:sz w:val="24"/>
          <w:szCs w:val="24"/>
          <w:lang w:val="ru-RU"/>
        </w:rPr>
      </w:pPr>
    </w:p>
    <w:p>
      <w:pPr>
        <w:ind w:left="0" w:leftChars="0" w:firstLine="802" w:firstLineChars="333"/>
        <w:jc w:val="center"/>
        <w:rPr>
          <w:rFonts w:hint="default" w:ascii="Times New Roman" w:hAnsi="Times New Roman"/>
          <w:b/>
          <w:bCs/>
          <w:color w:val="auto"/>
          <w:sz w:val="24"/>
          <w:szCs w:val="24"/>
          <w:lang w:val="ru-RU"/>
        </w:rPr>
      </w:pPr>
      <w:r>
        <w:rPr>
          <w:rFonts w:hint="default" w:ascii="Times New Roman" w:hAnsi="Times New Roman"/>
          <w:b/>
          <w:bCs/>
          <w:color w:val="auto"/>
          <w:sz w:val="24"/>
          <w:szCs w:val="24"/>
          <w:lang w:val="ru-RU"/>
        </w:rPr>
        <w:t>ПИСЬМО</w:t>
      </w:r>
    </w:p>
    <w:p>
      <w:pPr>
        <w:ind w:left="0" w:leftChars="0" w:firstLine="802" w:firstLineChars="333"/>
        <w:jc w:val="center"/>
        <w:rPr>
          <w:rFonts w:hint="default" w:ascii="Times New Roman" w:hAnsi="Times New Roman"/>
          <w:b/>
          <w:bCs/>
          <w:color w:val="auto"/>
          <w:sz w:val="24"/>
          <w:szCs w:val="24"/>
          <w:lang w:val="ru-RU"/>
        </w:rPr>
      </w:pPr>
      <w:r>
        <w:rPr>
          <w:rFonts w:hint="default" w:ascii="Times New Roman" w:hAnsi="Times New Roman"/>
          <w:b/>
          <w:bCs/>
          <w:color w:val="auto"/>
          <w:sz w:val="24"/>
          <w:szCs w:val="24"/>
          <w:lang w:val="ru-RU"/>
        </w:rPr>
        <w:t>от 3 мая 2023 г. № 02-07-10/40916</w:t>
      </w:r>
    </w:p>
    <w:p>
      <w:pPr>
        <w:ind w:left="0" w:leftChars="0" w:firstLine="799" w:firstLineChars="333"/>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 </w:t>
      </w:r>
    </w:p>
    <w:p>
      <w:pPr>
        <w:ind w:left="0" w:leftChars="0" w:firstLine="799" w:firstLineChars="333"/>
        <w:jc w:val="both"/>
        <w:rPr>
          <w:rFonts w:hint="default" w:ascii="Times New Roman" w:hAnsi="Times New Roman"/>
          <w:color w:val="auto"/>
          <w:sz w:val="24"/>
          <w:szCs w:val="24"/>
          <w:lang w:val="ru-RU"/>
        </w:rPr>
      </w:pPr>
      <w:bookmarkStart w:id="0" w:name="_GoBack"/>
      <w:r>
        <w:rPr>
          <w:rFonts w:hint="default" w:ascii="Times New Roman" w:hAnsi="Times New Roman"/>
          <w:color w:val="auto"/>
          <w:sz w:val="24"/>
          <w:szCs w:val="24"/>
          <w:lang w:val="ru-RU"/>
        </w:rPr>
        <w:t>Департамент бюджетной методологии и финансовой отчетности в государственном секторе Министерства финансов Российской Федерации (далее - Департамент) рассмотрел запрос муниципального общеобразовательного учреждения и сообщает.</w:t>
      </w:r>
    </w:p>
    <w:p>
      <w:pPr>
        <w:ind w:left="0" w:leftChars="0" w:firstLine="799" w:firstLineChars="333"/>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В силу положений постановления Правительства Российской Федерации от 30.06.2004 № 329 "О Министерстве финансов Российской Федерации" Министерство финансов Российской Федерации не наделено полномочиями по консультированию по вопросам применения нормативных правовых актов по ведению бухгалтерского учета и составлению бухгалтерской отчетности государственных финансов, а также федеральных стандартов бухгалтерского учета государственных финансов.</w:t>
      </w:r>
    </w:p>
    <w:p>
      <w:pPr>
        <w:ind w:left="0" w:leftChars="0" w:firstLine="799" w:firstLineChars="333"/>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Учитывая изложенное, а также то, что суть вопроса сводится к выполнению функций должностного лица государственного (муниципального) органа, учреждения, сообщаем, что подобные обращения следует направлять надлежащим образом оформленными на бланке государственного (муниципального) органа, учреждения, с подписью лица, на то уполномоченного.</w:t>
      </w:r>
    </w:p>
    <w:p>
      <w:pPr>
        <w:ind w:left="0" w:leftChars="0" w:firstLine="799" w:firstLineChars="333"/>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Вместе с этим Департамент полагает возможным обратить внимание на следующие положения законодательства Российской Федерации.</w:t>
      </w:r>
    </w:p>
    <w:p>
      <w:pPr>
        <w:ind w:left="0" w:leftChars="0" w:firstLine="799" w:firstLineChars="333"/>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В соответствии с пунктом 16 части 1 статьи 42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при осуществлении закупки путем проведения открытых конкурентных способов заказчик формирует и размещает в единой информационной системе извещение об осуществлении закупки, содержащее в том числе реквизиты счета, на котором в соответствии с законодательством Российской Федерации учитываются операции со средствами, поступающими заказчику, реквизиты счета для перечисления денежных средств в случае, предусмотренном частью 13 статьи 44 Закона № 44-ФЗ.</w:t>
      </w:r>
    </w:p>
    <w:p>
      <w:pPr>
        <w:ind w:left="0" w:leftChars="0" w:firstLine="799" w:firstLineChars="333"/>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Таким образом, в извещении об осуществлении закупки указываются как реквизиты счета, на котором учитываются операции со средствами, поступающими заказчику, так и реквизиты счета для перечисления денежных средств в случае, предусмотренном частью 13 статьи 44 Закона № 44-ФЗ.</w:t>
      </w:r>
    </w:p>
    <w:p>
      <w:pPr>
        <w:ind w:left="0" w:leftChars="0" w:firstLine="799" w:firstLineChars="333"/>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Частью 13 статьи 44 Закона № 44-ФЗ установлено, что, в случае если при проведении электронных процедур в течение одного квартала календарного года на одной электронной площадке в отношении трех и более заявок одного участника закупки комиссиями по осуществлению закупок приняты решения о несоответствии указанных заявок требованиям, предусмотренным извещением об осуществлении закупки, по основаниям, установленным пунктами 1 - 3, 5 - 9 части 12 статьи 48 Закона № 44-ФЗ, в порядке, предусмотренном частью 14 статьи 44 Закона № 44-ФЗ, осуществляется перечисление в соответствующий бюджет бюджетной системы Российской Федерации заблокированных на специальном счете участника закупки денежных средств в размере обеспечения каждой третьей такой заявки или в порядке, предусмотренном частью 15 статьи 44 Закона № 44-ФЗ, предъявляется требование об уплате денежной суммы по независимой гарантии, предоставленной для обеспечения каждой третьей такой заявки.</w:t>
      </w:r>
    </w:p>
    <w:p>
      <w:pPr>
        <w:ind w:left="0" w:leftChars="0" w:firstLine="799" w:firstLineChars="333"/>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Согласно части 14 статьи 44 Закона № 44-ФЗ, если в случае, предусмотренном частью 13 указанной статьи, обеспечение заявки на участие в закупке, являющейся третьей заявкой, предоставлено в виде денежных средств:</w:t>
      </w:r>
    </w:p>
    <w:p>
      <w:pPr>
        <w:ind w:left="0" w:leftChars="0" w:firstLine="799" w:firstLineChars="333"/>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1) оператор электронной площадки через пятнадцать рабочих дней со дня, следующего за днем размещения на электронной площадке в отношении такой заявки протокола, указанного в части 17 статьи 48, пункте 2 части 5 статьи 49, пункте 2 части 3 статьи 50 Закона № 44-ФЗ, направляет (за исключением случая получения оператором электронной площадки решения суда, контрольного органа в сфере закупок о признании решения, принятого в отношении такой заявки, не соответствующим требованиям Закона № 44-ФЗ) в банк информацию о реквизитах специального счета участника закупки, подавшего такую заявку;</w:t>
      </w:r>
    </w:p>
    <w:p>
      <w:pPr>
        <w:ind w:left="0" w:leftChars="0" w:firstLine="799" w:firstLineChars="333"/>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2) банк не позднее одного часа с момента получения информации, предусмотренной пунктом 1 части 14 статьи 44 Закона № 44-ФЗ, осуществляет перевод заблокированных на специальном счете участника закупки денежных средств в размере обеспечения такой заявки в соответствующий бюджет бюджетной системы Российской Федерации и направляет информацию о таком переводе оператору электронной площадки;</w:t>
      </w:r>
    </w:p>
    <w:p>
      <w:pPr>
        <w:ind w:left="0" w:leftChars="0" w:firstLine="799" w:firstLineChars="333"/>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3) оператор электронной площадки не позднее одного часа с момента получения от банка информации о перечислении, предусмотренной пунктом 2 части 14 статьи 44 Закона № 44-ФЗ, направляет участнику закупки информацию о таком перечислении.</w:t>
      </w:r>
    </w:p>
    <w:p>
      <w:pPr>
        <w:ind w:left="0" w:leftChars="0" w:firstLine="799" w:firstLineChars="333"/>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Таким образом, перевод заблокированных на специальном счете участника закупки денежных средств в размере обеспечения каждой третьей заявки осуществляется банком на соответствующий счет для перечисления денежных средств в случае, предусмотренном частью 13 статьи 44 Закона № 44-ФЗ, указанный заказчиком в извещении об осуществлении закупки.</w:t>
      </w:r>
    </w:p>
    <w:p>
      <w:pPr>
        <w:ind w:left="0" w:leftChars="0" w:firstLine="799" w:firstLineChars="333"/>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Согласно положениям статьи 41 Бюджетного кодекса Российской Федерации поступления в результате применения мер гражданско-правовой, административной, уголовной ответственности, в том числе штрафов, санкций, конфискаций, компенсаций в соответствии с законодательством Российской Федерации, включая штрафы, пени и неустойки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(далее - законодательство о контрактной системе), признаются доходами бюджета.</w:t>
      </w:r>
    </w:p>
    <w:p>
      <w:pPr>
        <w:ind w:left="0" w:leftChars="0" w:firstLine="799" w:firstLineChars="333"/>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Кроме того, федеральным стандартом бухгалтерского учета государственных финансов "Доходы", утвержденным приказом Министерства финансов Российской Федерации от 27.02.2018 № 32н, определено, что к доходам от штрафов, пеней, неустоек, возмещения ущерба относятся экономические выгоды или полезный потенциал, полученные или ожидаемые к получению от административных платежей и штрафов, пеней, неустоек, возмещения ущерба в соответствии с законодательством Российской Федерации.</w:t>
      </w:r>
    </w:p>
    <w:p>
      <w:pPr>
        <w:ind w:left="0" w:leftChars="0" w:firstLine="799" w:firstLineChars="333"/>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При этом бюджетные учреждения, в соответствии с бюджетным законодательством Российской Федерации, не наделены полномочиями администраторов доходов бюджета по штрафам, пеням и неустойкам за нарушение законодательства о контрактной системе.</w:t>
      </w:r>
    </w:p>
    <w:p>
      <w:pPr>
        <w:ind w:left="0" w:leftChars="0" w:firstLine="799" w:firstLineChars="333"/>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Учитывая изложенное, денежные взыскания (штрафы) за нарушение законодательства Российской Федерации о закупках товаров, работ и услуг, поступающие на лицевые счета бюджетных учреждений как санкции, налагаемые на участников электронных торгов (далее - штрафные санкции), подлежат дальнейшему перечислению бюджетным учреждением в доход соответствующего бюджета бюджетной системы Российской Федерации.</w:t>
      </w:r>
    </w:p>
    <w:p>
      <w:pPr>
        <w:ind w:left="0" w:leftChars="0" w:firstLine="799" w:firstLineChars="333"/>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Согласно Инструкции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утвержденной приказом Министерства финансов Российской Федерации от 01.12.2010 № 157н, и Инструкции по применению Плана счетов бухгалтерского учета бюджетных учреждений, утвержденной приказом Министерства финансов Российской Федерации от 16.12.2010 № 174н, задолженность по штрафным санкциям в указанном случае подлежит отражению в бухгалтерском учете бюджетного учреждения с применением счета 021005000 "Расчеты с прочими дебиторами".</w:t>
      </w:r>
    </w:p>
    <w:p>
      <w:pPr>
        <w:ind w:left="0" w:leftChars="0" w:firstLine="799" w:firstLineChars="333"/>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Признание задолженности на дату возникновения требований к плательщикам штрафных санкций, подлежащих дальнейшему перечислению в доход соответствующего бюджета, следует отражать в бухгалтерском учете бюджетных учреждений по дебету счета 021005560 "Увеличение дебиторской задолженности прочих дебиторов" и кредиту счета 030305731 "Увеличение кредиторской задолженности по прочим платежам в бюджет".</w:t>
      </w:r>
    </w:p>
    <w:p>
      <w:pPr>
        <w:ind w:left="0" w:leftChars="0" w:firstLine="799" w:firstLineChars="333"/>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Перечисление в доход бюджета поступивших на лицевой счет бюджетного учреждения сумм штрафных санкций отражается по дебету счета 030305831 "Уменьшение кредиторской задолженности по прочим платежам в бюджет" и по кредиту счета 020111610 "Выбытия денежных средств учреждения с лицевых счетов в органе казначейства".</w:t>
      </w:r>
    </w:p>
    <w:bookmarkEnd w:id="0"/>
    <w:p>
      <w:pPr>
        <w:ind w:left="0" w:leftChars="0" w:firstLine="799" w:firstLineChars="333"/>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 </w:t>
      </w:r>
    </w:p>
    <w:p>
      <w:pPr>
        <w:ind w:left="0" w:leftChars="0" w:firstLine="799" w:firstLineChars="333"/>
        <w:jc w:val="right"/>
        <w:rPr>
          <w:rFonts w:hint="default" w:ascii="Times New Roman" w:hAnsi="Times New Roman"/>
          <w:color w:val="auto"/>
          <w:sz w:val="24"/>
          <w:szCs w:val="24"/>
          <w:lang w:val="ru-RU"/>
        </w:rPr>
      </w:pPr>
      <w:r>
        <w:rPr>
          <w:rFonts w:hint="default" w:ascii="Times New Roman" w:hAnsi="Times New Roman"/>
          <w:color w:val="auto"/>
          <w:sz w:val="24"/>
          <w:szCs w:val="24"/>
          <w:lang w:val="ru-RU"/>
        </w:rPr>
        <w:t>Заместитель директора Департамента</w:t>
      </w:r>
    </w:p>
    <w:p>
      <w:pPr>
        <w:ind w:left="0" w:leftChars="0" w:firstLine="799" w:firstLineChars="333"/>
        <w:jc w:val="right"/>
        <w:rPr>
          <w:rFonts w:hint="default" w:ascii="Times New Roman" w:hAnsi="Times New Roman"/>
          <w:color w:val="auto"/>
          <w:sz w:val="24"/>
          <w:szCs w:val="24"/>
          <w:lang w:val="ru-RU"/>
        </w:rPr>
      </w:pPr>
      <w:r>
        <w:rPr>
          <w:rFonts w:hint="default" w:ascii="Times New Roman" w:hAnsi="Times New Roman"/>
          <w:color w:val="auto"/>
          <w:sz w:val="24"/>
          <w:szCs w:val="24"/>
          <w:lang w:val="ru-RU"/>
        </w:rPr>
        <w:t>бюджетной методологии</w:t>
      </w:r>
    </w:p>
    <w:p>
      <w:pPr>
        <w:ind w:left="0" w:leftChars="0" w:firstLine="799" w:firstLineChars="333"/>
        <w:jc w:val="right"/>
        <w:rPr>
          <w:rFonts w:hint="default" w:ascii="Times New Roman" w:hAnsi="Times New Roman"/>
          <w:color w:val="auto"/>
          <w:sz w:val="24"/>
          <w:szCs w:val="24"/>
          <w:lang w:val="ru-RU"/>
        </w:rPr>
      </w:pPr>
      <w:r>
        <w:rPr>
          <w:rFonts w:hint="default" w:ascii="Times New Roman" w:hAnsi="Times New Roman"/>
          <w:color w:val="auto"/>
          <w:sz w:val="24"/>
          <w:szCs w:val="24"/>
          <w:lang w:val="ru-RU"/>
        </w:rPr>
        <w:t>и финансовой отчетности</w:t>
      </w:r>
    </w:p>
    <w:p>
      <w:pPr>
        <w:ind w:left="0" w:leftChars="0" w:firstLine="799" w:firstLineChars="333"/>
        <w:jc w:val="right"/>
        <w:rPr>
          <w:rFonts w:hint="default" w:ascii="Times New Roman" w:hAnsi="Times New Roman"/>
          <w:color w:val="auto"/>
          <w:sz w:val="24"/>
          <w:szCs w:val="24"/>
          <w:lang w:val="ru-RU"/>
        </w:rPr>
      </w:pPr>
      <w:r>
        <w:rPr>
          <w:rFonts w:hint="default" w:ascii="Times New Roman" w:hAnsi="Times New Roman"/>
          <w:color w:val="auto"/>
          <w:sz w:val="24"/>
          <w:szCs w:val="24"/>
          <w:lang w:val="ru-RU"/>
        </w:rPr>
        <w:t>в государственном секторе</w:t>
      </w:r>
    </w:p>
    <w:p>
      <w:pPr>
        <w:ind w:left="0" w:leftChars="0" w:firstLine="799" w:firstLineChars="333"/>
        <w:jc w:val="right"/>
        <w:rPr>
          <w:rFonts w:hint="default" w:ascii="Times New Roman" w:hAnsi="Times New Roman"/>
          <w:color w:val="auto"/>
          <w:sz w:val="24"/>
          <w:szCs w:val="24"/>
          <w:lang w:val="ru-RU"/>
        </w:rPr>
      </w:pPr>
      <w:r>
        <w:rPr>
          <w:rFonts w:hint="default" w:ascii="Times New Roman" w:hAnsi="Times New Roman"/>
          <w:color w:val="auto"/>
          <w:sz w:val="24"/>
          <w:szCs w:val="24"/>
          <w:lang w:val="ru-RU"/>
        </w:rPr>
        <w:t>С.В.СИВЕЦ</w:t>
      </w:r>
    </w:p>
    <w:p>
      <w:pPr>
        <w:ind w:left="0" w:leftChars="0" w:firstLine="799" w:firstLineChars="333"/>
        <w:jc w:val="right"/>
        <w:rPr>
          <w:rFonts w:hint="default" w:ascii="Times New Roman" w:hAnsi="Times New Roman"/>
          <w:color w:val="auto"/>
          <w:sz w:val="24"/>
          <w:szCs w:val="24"/>
          <w:lang w:val="ru-RU"/>
        </w:rPr>
      </w:pPr>
      <w:r>
        <w:rPr>
          <w:rFonts w:hint="default" w:ascii="Times New Roman" w:hAnsi="Times New Roman"/>
          <w:color w:val="auto"/>
          <w:sz w:val="24"/>
          <w:szCs w:val="24"/>
          <w:lang w:val="ru-RU"/>
        </w:rPr>
        <w:t>03.05.2023</w:t>
      </w:r>
    </w:p>
    <w:p>
      <w:pPr>
        <w:ind w:left="0" w:leftChars="0" w:firstLine="799" w:firstLineChars="333"/>
        <w:jc w:val="both"/>
        <w:rPr>
          <w:rFonts w:hint="default" w:ascii="Times New Roman" w:hAnsi="Times New Roman" w:cs="Times New Roman"/>
          <w:color w:val="auto"/>
          <w:sz w:val="24"/>
          <w:szCs w:val="24"/>
          <w:lang w:val="ru-RU"/>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B9966FD"/>
    <w:rsid w:val="0F3D3631"/>
    <w:rsid w:val="4B9966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113</TotalTime>
  <ScaleCrop>false</ScaleCrop>
  <LinksUpToDate>false</LinksUpToDate>
  <CharactersWithSpaces>0</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2023-06-19T05:15:00Z</dcterms:created>
  <dc:creator>rahma</dc:creator>
  <cp:lastModifiedBy>rahma</cp:lastModifiedBy>
  <dcterms:modified xsi:type="dcterms:W3CDTF">2023-06-19T07:09:41Z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ABAFDE86A6A54EFEA2C6FD7CAD1B0276</vt:lpwstr>
  </property>
</Properties>
</file>