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602" w:firstLineChars="250"/>
        <w:jc w:val="center"/>
        <w:rPr>
          <w:rFonts w:hint="default" w:ascii="Times New Roman" w:hAnsi="Times New Roman"/>
          <w:b/>
          <w:bCs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b/>
          <w:bCs/>
          <w:color w:val="auto"/>
          <w:sz w:val="24"/>
          <w:szCs w:val="24"/>
          <w:lang w:val="ru-RU"/>
        </w:rPr>
        <w:t>МИНИСТЕРСТВО ФИНАНСОВ РОССИЙСКОЙ ФЕДЕРАЦИИ</w:t>
      </w:r>
    </w:p>
    <w:p>
      <w:pPr>
        <w:ind w:left="0" w:leftChars="0" w:firstLine="602" w:firstLineChars="250"/>
        <w:jc w:val="center"/>
        <w:rPr>
          <w:rFonts w:hint="default" w:ascii="Times New Roman" w:hAnsi="Times New Roman"/>
          <w:b/>
          <w:bCs/>
          <w:color w:val="auto"/>
          <w:sz w:val="24"/>
          <w:szCs w:val="24"/>
          <w:lang w:val="ru-RU"/>
        </w:rPr>
      </w:pPr>
    </w:p>
    <w:p>
      <w:pPr>
        <w:ind w:left="0" w:leftChars="0" w:firstLine="602" w:firstLineChars="250"/>
        <w:jc w:val="center"/>
        <w:rPr>
          <w:rFonts w:hint="default" w:ascii="Times New Roman" w:hAnsi="Times New Roman"/>
          <w:b/>
          <w:bCs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b/>
          <w:bCs/>
          <w:color w:val="auto"/>
          <w:sz w:val="24"/>
          <w:szCs w:val="24"/>
          <w:lang w:val="ru-RU"/>
        </w:rPr>
        <w:t>ПИСЬМО</w:t>
      </w:r>
    </w:p>
    <w:p>
      <w:pPr>
        <w:ind w:left="0" w:leftChars="0" w:firstLine="602" w:firstLineChars="250"/>
        <w:jc w:val="center"/>
        <w:rPr>
          <w:rFonts w:hint="default" w:ascii="Times New Roman" w:hAnsi="Times New Roman"/>
          <w:b/>
          <w:bCs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b/>
          <w:bCs/>
          <w:color w:val="auto"/>
          <w:sz w:val="24"/>
          <w:szCs w:val="24"/>
          <w:lang w:val="ru-RU"/>
        </w:rPr>
        <w:t>от 30 мая 2023 г. № 24-06-09/49516</w:t>
      </w:r>
    </w:p>
    <w:p>
      <w:pPr>
        <w:ind w:left="0" w:leftChars="0" w:firstLine="600" w:firstLineChars="250"/>
        <w:jc w:val="both"/>
        <w:rPr>
          <w:rFonts w:hint="default" w:ascii="Times New Roman" w:hAnsi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 </w:t>
      </w:r>
    </w:p>
    <w:p>
      <w:pPr>
        <w:ind w:left="0" w:leftChars="0" w:firstLine="600" w:firstLineChars="250"/>
        <w:jc w:val="both"/>
        <w:rPr>
          <w:rFonts w:hint="default" w:ascii="Times New Roman" w:hAnsi="Times New Roman"/>
          <w:color w:val="auto"/>
          <w:sz w:val="24"/>
          <w:szCs w:val="24"/>
          <w:lang w:val="ru-RU"/>
        </w:rPr>
      </w:pPr>
      <w:bookmarkStart w:id="0" w:name="_GoBack"/>
      <w:r>
        <w:rPr>
          <w:rFonts w:hint="default" w:ascii="Times New Roman" w:hAnsi="Times New Roman"/>
          <w:color w:val="auto"/>
          <w:sz w:val="24"/>
          <w:szCs w:val="24"/>
          <w:lang w:val="ru-RU"/>
        </w:rPr>
        <w:t>Департамент бюджетной политики в сфере контрактной системы Минфина России (далее - Департамент), рассмотрев обращение от 02.05.2023, направленное посредством электронной почты, по вопросу о применении положений постановления Правительства Российской Федерации от 31.12.2021 № 2604 "Об оценке заявок на участие в закупке товаров, работ, услуг для обеспечения государственных и муниципальных нужд, внесении изменений в пункт 4 постановления Правительства Российской Федерации от 20.12.2021 № 2369 и признании утратившими силу некоторых актов и отдельных положений некоторых актов Правительства Российской Федерации" (далее - Постановление № 2604) в части оценки заявок по критерию оценки "квалификация участников закупки", сообщает следующее.</w:t>
      </w:r>
    </w:p>
    <w:p>
      <w:pPr>
        <w:ind w:left="0" w:leftChars="0" w:firstLine="600" w:firstLineChars="250"/>
        <w:jc w:val="both"/>
        <w:rPr>
          <w:rFonts w:hint="default" w:ascii="Times New Roman" w:hAnsi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В соответствии с Положением о Министерстве финансов Российской Федерации, утвержденным постановлением Правительства Российской Федерации от 30.06.2004 № 329, Минфин России является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осуществления закупок товаров, работ, услуг для обеспечения государственных и муниципальных нужд.</w:t>
      </w:r>
    </w:p>
    <w:p>
      <w:pPr>
        <w:ind w:left="0" w:leftChars="0" w:firstLine="600" w:firstLineChars="250"/>
        <w:jc w:val="both"/>
        <w:rPr>
          <w:rFonts w:hint="default" w:ascii="Times New Roman" w:hAnsi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Согласно пунктам 11.8 и 12.5 Регламента Министерства финансов Российской Федерации, утвержденного приказом Министерства финансов Российской Федерации от 14.09.2018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>
      <w:pPr>
        <w:ind w:left="0" w:leftChars="0" w:firstLine="600" w:firstLineChars="250"/>
        <w:jc w:val="both"/>
        <w:rPr>
          <w:rFonts w:hint="default" w:ascii="Times New Roman" w:hAnsi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Кроме того, в Минфине России, если законодательством Российской Федерации не установлено иное, не рассматриваются по существу обращения по оценке конкретных хозяйственных ситуаций.</w:t>
      </w:r>
    </w:p>
    <w:p>
      <w:pPr>
        <w:ind w:left="0" w:leftChars="0" w:firstLine="600" w:firstLineChars="250"/>
        <w:jc w:val="both"/>
        <w:rPr>
          <w:rFonts w:hint="default" w:ascii="Times New Roman" w:hAnsi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>
      <w:pPr>
        <w:ind w:left="0" w:leftChars="0" w:firstLine="600" w:firstLineChars="250"/>
        <w:jc w:val="both"/>
        <w:rPr>
          <w:rFonts w:hint="default" w:ascii="Times New Roman" w:hAnsi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Вместе с тем в рамках компетенции Департамента полагаем необходимым отметить следующее.</w:t>
      </w:r>
    </w:p>
    <w:p>
      <w:pPr>
        <w:ind w:left="0" w:leftChars="0" w:firstLine="600" w:firstLineChars="250"/>
        <w:jc w:val="both"/>
        <w:rPr>
          <w:rFonts w:hint="default" w:ascii="Times New Roman" w:hAnsi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По вопросу 1</w:t>
      </w:r>
    </w:p>
    <w:p>
      <w:pPr>
        <w:ind w:left="0" w:leftChars="0" w:firstLine="600" w:firstLineChars="250"/>
        <w:jc w:val="both"/>
        <w:rPr>
          <w:rFonts w:hint="default" w:ascii="Times New Roman" w:hAnsi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В соответствии с пунктом 4 части 1 статьи 32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 № 44-ФЗ) для оценки заявок участников закупки заказчик использует такой критерий, как квалификация участников закупки, в том числе наличие у них финансовых ресурсов, на праве собственности или ином законном основании оборудования и других материальных ресурсов, опыта работы, связанного с предметом контракта, и деловой репутации, специалистов и иных работников определенного уровня квалификации.</w:t>
      </w:r>
    </w:p>
    <w:p>
      <w:pPr>
        <w:ind w:left="0" w:leftChars="0" w:firstLine="600" w:firstLineChars="250"/>
        <w:jc w:val="both"/>
        <w:rPr>
          <w:rFonts w:hint="default" w:ascii="Times New Roman" w:hAnsi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В случае проведения электронного конкурса и установления критерия, предусмотренного пунктом 4 части 1 статьи 32 Закона № 44-ФЗ, заявка на участие в закупке может содержать документы, подтверждающие квалификацию участника закупки. Отсутствие таких документов не является основанием для признания заявки не соответствующей требованиям Закона № 44-ФЗ (подпункт "р" пункта 1 части 1 статьи 43 Закона № 44-ФЗ).</w:t>
      </w:r>
    </w:p>
    <w:p>
      <w:pPr>
        <w:ind w:left="0" w:leftChars="0" w:firstLine="600" w:firstLineChars="250"/>
        <w:jc w:val="both"/>
        <w:rPr>
          <w:rFonts w:hint="default" w:ascii="Times New Roman" w:hAnsi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Согласно части 2 статьи 48 Закона № 44-ФЗ вторая часть заявки должна содержать в том числе информацию и документы, предусмотренные подпунктами "м" - "р" пункта 1 части 1 статьи 43 Закона № 44-ФЗ.</w:t>
      </w:r>
    </w:p>
    <w:p>
      <w:pPr>
        <w:ind w:left="0" w:leftChars="0" w:firstLine="600" w:firstLineChars="250"/>
        <w:jc w:val="both"/>
        <w:rPr>
          <w:rFonts w:hint="default" w:ascii="Times New Roman" w:hAnsi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Подпунктом "б" пункта 1 части 11 статьи 48 Закона № 44-ФЗ установлено, что не позднее двух рабочих дней со дня, следующего за днем получения вторых частей заявок на участие в закупке, информации и документов в соответствии с пунктом 2 части 10 статьи 48 Закона № 44-ФЗ, но не позднее даты окончания срока рассмотрения и оценки вторых частей заявок на участие в закупке, установленной в извещении об осуществлении закупки, члены комиссии по осуществлению закупок осуществляют оценку вторых частей заявок на участие в закупке, в отношении которых принято решение о признании соответствующими извещению об осуществлении закупки, по критерию, предусмотренному пунктом 4 части 1 статьи 32 Закона № 44-ФЗ.</w:t>
      </w:r>
    </w:p>
    <w:p>
      <w:pPr>
        <w:ind w:left="0" w:leftChars="0" w:firstLine="600" w:firstLineChars="250"/>
        <w:jc w:val="both"/>
        <w:rPr>
          <w:rFonts w:hint="default" w:ascii="Times New Roman" w:hAnsi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Таким образом, документы, подтверждающие квалификацию участника закупки в соответствии с подпунктом "р" пункта 1 части 1 статьи 43 Закона № 44-ФЗ, в целях оценки заявок по соответствующему критерию оценки представляются участником закупки в составе второй части заявки.</w:t>
      </w:r>
    </w:p>
    <w:p>
      <w:pPr>
        <w:ind w:left="0" w:leftChars="0" w:firstLine="600" w:firstLineChars="250"/>
        <w:jc w:val="both"/>
        <w:rPr>
          <w:rFonts w:hint="default" w:ascii="Times New Roman" w:hAnsi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При этом, по мнению Департамента, документы, направленные заказчику оператором электронной площадки из реестра участников закупок, аккредитованных на электронной площадке, подтверждающие соответствие участника закупки установленным заказчиком в соответствии с частями 2 и 2.1 (при наличии таких требований) статьи 31 Закона № 44-ФЗ дополнительным требованиям, не могут учитываться комиссией по осуществлению закупок в целях оценки заявок.</w:t>
      </w:r>
    </w:p>
    <w:p>
      <w:pPr>
        <w:ind w:left="0" w:leftChars="0" w:firstLine="600" w:firstLineChars="250"/>
        <w:jc w:val="both"/>
        <w:rPr>
          <w:rFonts w:hint="default" w:ascii="Times New Roman" w:hAnsi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Вместе с тем вопрос о наличии либо об отсутствии признаков нарушения Закона № 44-ФЗ рассматривается органом исполнительной власти, уполномоченным на осуществление контроля (надзора) в сфере закупок товаров, работ, услуг для обеспечения государственных и муниципальных нужд, в каждом конкретном случае исходя из всех обстоятельств дела.</w:t>
      </w:r>
    </w:p>
    <w:p>
      <w:pPr>
        <w:ind w:left="0" w:leftChars="0" w:firstLine="600" w:firstLineChars="250"/>
        <w:jc w:val="both"/>
        <w:rPr>
          <w:rFonts w:hint="default" w:ascii="Times New Roman" w:hAnsi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По вопросу 2</w:t>
      </w:r>
    </w:p>
    <w:p>
      <w:pPr>
        <w:ind w:left="0" w:leftChars="0" w:firstLine="600" w:firstLineChars="250"/>
        <w:jc w:val="both"/>
        <w:rPr>
          <w:rFonts w:hint="default" w:ascii="Times New Roman" w:hAnsi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Согласно подпункту "б" пункта 28 Положения об оценке заявок на участие в закупке товаров, работ, услуг для обеспечения государственных и муниципальных нужд (далее - Положение), утвержденного Постановлением № 2604, в случае применения показателя оценки, предусмотренного подпунктом "в" пункта 24 Положения (наличие у участников закупки опыта поставки товара, выполнения работы, оказания услуги, связанного с предметом контракта), оценка заявок по детализирующим показателям, предусмотренным подпунктом "а" пункта 28 Положения, осуществляется в порядке, установленном пунктами 20 и 21 Положения, применение шкалы оценки не допускается.</w:t>
      </w:r>
    </w:p>
    <w:p>
      <w:pPr>
        <w:ind w:left="0" w:leftChars="0" w:firstLine="600" w:firstLineChars="250"/>
        <w:jc w:val="both"/>
        <w:rPr>
          <w:rFonts w:hint="default" w:ascii="Times New Roman" w:hAnsi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Формулы оценки, предусмотренные пунктом 20 Положения, предусматривают оценку с учетом того, какое значение является для заказчика наилучшим (наибольшее, например размер опыта, или наименьшее, например расход топлива), а также с учетом наличия или отсутствия предельного (предельных) минимального и (или) максимального значения (значений) показателя.</w:t>
      </w:r>
    </w:p>
    <w:p>
      <w:pPr>
        <w:ind w:left="0" w:leftChars="0" w:firstLine="600" w:firstLineChars="250"/>
        <w:jc w:val="both"/>
        <w:rPr>
          <w:rFonts w:hint="default" w:ascii="Times New Roman" w:hAnsi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Заказчик самостоятельно выбирает формулу из числа предусмотренных пунктом 20 Положения.</w:t>
      </w:r>
    </w:p>
    <w:p>
      <w:pPr>
        <w:ind w:left="0" w:leftChars="0" w:firstLine="600" w:firstLineChars="250"/>
        <w:jc w:val="both"/>
        <w:rPr>
          <w:rFonts w:hint="default" w:ascii="Times New Roman" w:hAnsi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Формулы, при которых заказчик не устанавливает предельное (предельные) значение (значения) (подпункты "а" и "б" пункта 20 Положения), предусматривают присвоение баллов исходя из нижеследующего:</w:t>
      </w:r>
    </w:p>
    <w:p>
      <w:pPr>
        <w:ind w:left="0" w:leftChars="0" w:firstLine="600" w:firstLineChars="250"/>
        <w:jc w:val="both"/>
        <w:rPr>
          <w:rFonts w:hint="default" w:ascii="Times New Roman" w:hAnsi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заявке, содержащей наилучшее значение, присваивается 100 баллов;</w:t>
      </w:r>
    </w:p>
    <w:p>
      <w:pPr>
        <w:ind w:left="0" w:leftChars="0" w:firstLine="600" w:firstLineChars="250"/>
        <w:jc w:val="both"/>
        <w:rPr>
          <w:rFonts w:hint="default" w:ascii="Times New Roman" w:hAnsi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заявке, содержащей наихудшее значение, присваивается 0 баллов;</w:t>
      </w:r>
    </w:p>
    <w:p>
      <w:pPr>
        <w:ind w:left="0" w:leftChars="0" w:firstLine="600" w:firstLineChars="250"/>
        <w:jc w:val="both"/>
        <w:rPr>
          <w:rFonts w:hint="default" w:ascii="Times New Roman" w:hAnsi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иным заявкам баллы присваиваются между наилучшим и наихудшим значениями (экстремумами) исходя из цены деления, рассчитываемой (в рамках "правого компонента" каждой формулы) на основании предложенных участниками закупки наилучшего и наихудшего значений.</w:t>
      </w:r>
    </w:p>
    <w:p>
      <w:pPr>
        <w:ind w:left="0" w:leftChars="0" w:firstLine="600" w:firstLineChars="250"/>
        <w:jc w:val="both"/>
        <w:rPr>
          <w:rFonts w:hint="default" w:ascii="Times New Roman" w:hAnsi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При этом в случае если участник закупки в составе заявки не представил документы, подтверждающие его квалификацию, в целях оценки заявок, то такой заявке, по мнению Департамента, комиссия по осуществлению закупок присваивает 0 баллов как содержащей наихудшее значение.</w:t>
      </w:r>
    </w:p>
    <w:p>
      <w:pPr>
        <w:ind w:left="0" w:leftChars="0" w:firstLine="600" w:firstLineChars="250"/>
        <w:jc w:val="both"/>
        <w:rPr>
          <w:rFonts w:hint="default" w:ascii="Times New Roman" w:hAnsi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Департамент отмечает, что подход, при котором оценка заявок осуществляется от 0 до 100 баллов между наихудшим и наилучшим значениями из представленных в таких заявках, обусловлен тем, что заранее не известны и не ограничиваются значения, которые могут быть предложены разными участниками закупки.</w:t>
      </w:r>
    </w:p>
    <w:bookmarkEnd w:id="0"/>
    <w:p>
      <w:pPr>
        <w:ind w:left="0" w:leftChars="0" w:firstLine="600" w:firstLineChars="250"/>
        <w:jc w:val="both"/>
        <w:rPr>
          <w:rFonts w:hint="default" w:ascii="Times New Roman" w:hAnsi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 </w:t>
      </w:r>
    </w:p>
    <w:p>
      <w:pPr>
        <w:ind w:left="0" w:leftChars="0" w:firstLine="600" w:firstLineChars="250"/>
        <w:jc w:val="right"/>
        <w:rPr>
          <w:rFonts w:hint="default" w:ascii="Times New Roman" w:hAnsi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Заместитель директора Департамента</w:t>
      </w:r>
    </w:p>
    <w:p>
      <w:pPr>
        <w:ind w:left="0" w:leftChars="0" w:firstLine="600" w:firstLineChars="250"/>
        <w:jc w:val="right"/>
        <w:rPr>
          <w:rFonts w:hint="default" w:ascii="Times New Roman" w:hAnsi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Д.А.ГОТОВЦЕВ</w:t>
      </w:r>
    </w:p>
    <w:p>
      <w:pPr>
        <w:ind w:left="0" w:leftChars="0" w:firstLine="600" w:firstLineChars="250"/>
        <w:jc w:val="right"/>
        <w:rPr>
          <w:rFonts w:hint="default" w:ascii="Times New Roman" w:hAnsi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30.05.2023</w:t>
      </w:r>
    </w:p>
    <w:p>
      <w:pPr>
        <w:ind w:left="0" w:leftChars="0" w:firstLine="600" w:firstLineChars="250"/>
        <w:jc w:val="right"/>
        <w:rPr>
          <w:rFonts w:hint="default" w:ascii="Times New Roman" w:hAnsi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 </w:t>
      </w:r>
    </w:p>
    <w:p>
      <w:pPr>
        <w:ind w:left="0" w:leftChars="0" w:firstLine="600" w:firstLineChars="250"/>
        <w:jc w:val="both"/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FE4586"/>
    <w:rsid w:val="54FE4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38</TotalTime>
  <ScaleCrop>false</ScaleCrop>
  <LinksUpToDate>false</LinksUpToDate>
  <CharactersWithSpaces>0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2023-06-13T05:41:00Z</dcterms:created>
  <dc:creator>rahma</dc:creator>
  <cp:lastModifiedBy>rahma</cp:lastModifiedBy>
  <dcterms:modified xsi:type="dcterms:W3CDTF">2023-06-13T06:20:09Z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117DD10BDE074A41839BE8B5DBA109EE</vt:lpwstr>
  </property>
</Properties>
</file>