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МИНИСТЕРСТВО ФИНАНСОВ РОССИЙСКОЙ ФЕДЕРАЦИИ</w:t>
      </w:r>
    </w:p>
    <w:p>
      <w:pPr>
        <w:ind w:left="0" w:leftChars="0" w:firstLine="1002" w:firstLineChars="416"/>
        <w:jc w:val="center"/>
        <w:rPr>
          <w:rFonts w:hint="default" w:ascii="Times New Roman" w:hAnsi="Times New Roman"/>
          <w:b/>
          <w:bCs/>
          <w:color w:val="auto"/>
          <w:sz w:val="24"/>
          <w:szCs w:val="24"/>
          <w:lang w:val="ru-RU"/>
        </w:rPr>
      </w:pPr>
    </w:p>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5 июля 2023 г. № 02-06-05/62954</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от 02.06.2023 и сообщает.</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со статьей 4 Федерального закона от 02.05.2006 № 59-ФЗ "О порядке рассмотрения обращений граждан Российской Федерации" (далее - Закон) рассмотрению</w:t>
      </w:r>
      <w:bookmarkStart w:id="0" w:name="_GoBack"/>
      <w:bookmarkEnd w:id="0"/>
      <w:r>
        <w:rPr>
          <w:rFonts w:hint="default" w:ascii="Times New Roman" w:hAnsi="Times New Roman"/>
          <w:color w:val="auto"/>
          <w:sz w:val="24"/>
          <w:szCs w:val="24"/>
          <w:lang w:val="ru-RU"/>
        </w:rPr>
        <w:t xml:space="preserve"> подлежат следующие виды обращений граждан:</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просьбы граждан о содействии в реализации их конституционных прав,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должностных лиц, либо критика деятельности указанных органов, должностных лиц;</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Содержащийся в обращении вопрос не соответствует предусмотренным законом видам обращений граждан, подлежащих рассмотрению федеральными органами государственной власти.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Кроме того, в силу положений постановления Правительства Российской Федерации от 30 июня 2004 г. № 329 "О Министерстве финансов Российской Федерации" Министерством финансов Российской Федерации не рассматриваются по существу обращения по оценке конкретных хозяйственных ситуаций, а также не даются разъяснения действующего законодательства Российской Федерации.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Учитывая изложенное, а также то, что суть вопроса сводится к выполнению функций должностного лица, сообщаем, что подобный запрос следует направлять надлежащим образом оформленным (на бланке органа государственной власти, органа местного самоуправления, государственного (муниципального) учреждения, иного юридического лица, с подписью лица, на то уполномоченного).</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тем Департамент считает необходимым отметить следующее.</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положениями Бюджетного кодекса Российской Федерации (далее - БК РФ) органы государственной власти, органы управления государственными внебюджетными фондами, органы местного самоуправления, находящиеся в ведении главного распорядителя (распорядителя) бюджетных средств казенные учреждения являются получателями бюджетных средств (получателями средств соответствующего бюджета), имеющими право на принятие и (или) исполнение бюджетных обязательств от имени публично-правового образования за счет средств соответствующего бюджета.</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статье 162 БК РФ получатель бюджетных средств (как участник бюджетного процесса) в процессе исполнения бюджетных полномочий обеспечивает ведение бюджетного учета и формирование бюджетной отчетности, которую представляет соответствующему главному распорядителю (распорядителю) бюджетных средств.</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Федеральным законом от 06.12.2011 № 402-ФЗ "О бухгалтерском учете" к документам, обязательным к применению в области регулирования ведения бухгалтерского учета организациями бюджетной сферы, относятся федеральные стандарты бухгалтерского учета, федеральные стандарты бухгалтерского учета государственных финансов.</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Федеральный стандарт бухгалтерского учета государственных финансов "Резервы. Раскрытие информации об условных обязательствах и условных активах" (далее - СГС "Резервы"), утвержденный приказом Министерства финансов Российской Федерации от 30.05.2018 № 124н, разработан в целях обеспечения единства системы требований к ведению бухгалтерского учета государственными (муниципальными) бюджетными и автономными учреждениями, бюджетному учету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формированию информации об объектах бухгалтерского учета, бухгалтерской (финансовой) отчетности государственных (муниципальных) бюджетных и автономных учреждений, бюджетной отчетности и является обязательным к применению при ведении бюджетного учета (в том числе казенными учреждениями), бухгалтерского учета государственных (муниципальных) бюджетных и автономных учреждений с 1 января 2020 года.</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 отражении в бюджетном учете казенным учреждением операций по поступлению работ (услуг) и (или) принятию и исполнению обязательств по заключенным контрактам необходимо руководствоваться положениями федеральных стандартов бухгалтерского учета государственных финансов с учетом положений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 256н (далее - СГС "Концептуальные основы"),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Инструкции по применению Плана счетов бюджетного учета, утвержденной приказом Министерства финансов Российской Федерации от 06.12.2010 № 162н.</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Разъяснения по вопросам отражения организациями бюджетной сферы (в том числе казенными учреждениями) в бухгалтерском учете фактов хозяйственной жизни, возникающих при исполнении договоров (контрактов) (сдаче результатов поставок (работ, услуг)) и принятии таких результатов согласно документу о приемке и случаях признания в учете отложенных обязательств и формирования резервов предстоящих расходов, направлены письмом Министерства финансов Российской Федерации от 11.11.2022 № 02-06-07/110108.</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Дополнительно сообщаем, что Министерством финансов Российской Федерации созданы условия, обеспечивающие доступ всех заинтересованных пользователей к текстам нормативных правовых актов и методических рекомендаций по их применению, разрабатываемых департаментами Министерства финансов Российской Федерации.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Тексты нормативных правовых актов, регулирующих ведение бюджетного (бухгалтерского) учета и составление бухгалтерской (финансовой) отчетности, с учетом последних изменений размещены на официальном сайте Министерства финансов Российской Федерации. Интернет-адрес сайта - https://minfin.gov.ru.</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Заместитель директора Департамента</w:t>
      </w:r>
    </w:p>
    <w:p>
      <w:pPr>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бюджетной методологии</w:t>
      </w:r>
    </w:p>
    <w:p>
      <w:pPr>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и финансовой отчетности</w:t>
      </w:r>
    </w:p>
    <w:p>
      <w:pPr>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государственном секторе</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С.В.СИВЕЦ</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05.07.2023</w:t>
      </w:r>
    </w:p>
    <w:p>
      <w:pPr>
        <w:ind w:left="0" w:leftChars="0" w:firstLine="998" w:firstLineChars="416"/>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41514"/>
    <w:rsid w:val="0AD819C3"/>
    <w:rsid w:val="20FC44DF"/>
    <w:rsid w:val="2CD41514"/>
    <w:rsid w:val="7E3F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2023-07-31T03:16:00Z</dcterms:created>
  <dc:creator>rahma</dc:creator>
  <cp:lastModifiedBy>rahma</cp:lastModifiedBy>
  <dcterms:modified xsi:type="dcterms:W3CDTF">2023-07-31T03:48:45Z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820DB92B888947E38406C4F39FD7AD40</vt:lpwstr>
  </property>
</Properties>
</file>