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ФЕДЕРАЛЬНАЯ АНТИМОНОПОЛЬНАЯ СЛУЖБА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ПИСЬМО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 xml:space="preserve">от 26 июля 2023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 xml:space="preserve"> МШ/59508/23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ОБ АКТУАЛИЗАЦИИ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 xml:space="preserve">РАЗЪЯСНЕНИЙ ФАС РОССИИ ПО ВОПРОСУ </w:t>
      </w:r>
      <w:bookmarkStart w:id="0" w:name="_GoBack"/>
      <w:bookmarkEnd w:id="0"/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ФОРМИРОВАНИЯ ЛОТА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ПРИ ПРОВЕДЕНИИ ЗАКУПОК НА СОДЕРЖАНИЕ (РЕМОНТ) АВТОМОБИЛЬНЫХ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ДОРОГ В СООТВЕТСТВИИ С ЗАКОНОМ О КОНТРАКТНОЙ СИСТЕМЕ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ФАС России на основании пункта 5.4 Положения о Федеральной антимонопольной службе, утвержденного постановлением Правительства Российской Федерации от 30.06.2004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331, в целях формирования единообразной практики применения положений Федерального закона от 05.04.2013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44-ФЗ "О контрактной системе в сфере закупок товаров, работ, услуг для государственных и муниципальных нужд" (далее - Закон о контрактной системе) направляет участникам контрактной системы актуализацию разъяснений ФАС России по вопросам об определении критериев формирования лота при проведении закупок на содержание (ремонт) автомобильных дорог.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В соответствии с пунктом 1 части 1 статьи 33 Закона о контрактной системе заказчик при описании в документации о закупке объекта закупки должен руководствоваться в том числе правилом, что в описание объекта закупки не должны включаться требования к товарам, информации, работам, услугам при условии, что такие требования или указания влекут за собой ограничение количества участников закупки.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С учетом указанных положений Закона о контрактной системе, а также анализа административной практики ФАС России и ее территориальных органов, по мнению ФАС России, возможно выделить следующие критерии, нарушение которых свидетельствует о неправомерном формировании лота: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I. На выполнение работ по содержанию (ремонту) автомобильных дорог города.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1) Для населенного пункта, имеющего статус города в соответствии с нормативным правовым актом субъекта Российской Федерации, численность населения которого не превышает 1 миллион жителей, начальная (максимальная) цена одного лота не должна превышать 1,2 млрд рублей.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Для населенного пункта, имеющего статус города в соответствии с нормативным правовым актом субъекта Российской Федерации, численность населения которого более 1 миллиона жителей, начальная (максимальная) цена одного лота не должна превышать 1,8 млрд рублей.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2) Срок исполнения обязательств по контракту должен составлять не менее 6 месяцев.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II. На выполнение работ по содержанию/ремонту автомобильных дорог субъекта Российской Федерации.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1) Для I - III климатической зоны &lt;1&gt; начальная (максимальная) цена одного лота не должна превышать 1,2 млрд рублей.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--------------------------------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&lt;1&gt; I - включает в себя Юг России (тропическая зона)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II - Запад и Северо-Запад страны, территория Приморья (субтропическая зона)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III - южные районы Сибири и часть Дальнего Востока (умеренная зона).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Для IV и Особой климатической зоны &lt;2&gt; начальная (максимальная) цена одного лота не должна превышать 1,7 млрд рублей.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--------------------------------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&lt;2&gt; IV - Якутия, северная Сибирь, северные районы Дальнего Востока (полярная зона)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Особая зона - Район Чукотки и Заполярье.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Для субъекта Российской Федерации, численность населения столицы которого составляет более 1 миллиона жителей, начальная (максимальная) цена одного лота не должна превышать 1,8 млрд рублей.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Для городов федерального значения Москва и Санкт-Петербург начальная (максимальная) цена одного лота не должна превышать 3,6 млрд рублей.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2) Срок исполнения обязательств по контракту должен составлять не менее 6 месяцев.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Учитывая изложенное, ФАС России считает необходимым в целях формирования единообразной практики применения положений законодательства Российской Федерации о контрактной системе в сфере закупок руководствоваться указанными критериями формирования лота.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Дополнительно ФАС России сообщает, что принятие решения заказчиком о формировании лота при проведении закупок на содержание (ремонт) автомобильных дорог на срок более 6 месяцев с меньшими значениями начальной (максимальной) цены контракта, по мнению ФАС России, будет способствовать расширению конкуренции на данном товарном рынке и дополнительной экономии бюджетных средств.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В этой связи письмо ФАС России от 24.04.2020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  <w:lang w:val="en-US"/>
        </w:rPr>
        <w:t xml:space="preserve"> ИА/35241/20 считается неактуальным.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 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/>
          <w:color w:val="auto"/>
          <w:sz w:val="24"/>
          <w:szCs w:val="24"/>
          <w:lang w:val="en-US"/>
        </w:rPr>
        <w:t>М.А.ШАСКОЛЬСКИЙ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C45F57"/>
    <w:rsid w:val="14C45F57"/>
    <w:rsid w:val="338A5BF7"/>
    <w:rsid w:val="44641C33"/>
    <w:rsid w:val="7862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142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2023-08-07T04:46:00Z</dcterms:created>
  <dc:creator>rahma</dc:creator>
  <cp:lastModifiedBy>rahma</cp:lastModifiedBy>
  <dcterms:modified xsi:type="dcterms:W3CDTF">2023-08-07T07:09:35Z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874FDE7994CD426CA07AFF623585118B</vt:lpwstr>
  </property>
</Properties>
</file>