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00" w:rsidRPr="00C56600" w:rsidRDefault="00C56600" w:rsidP="00C56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00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56600" w:rsidRPr="00C56600" w:rsidRDefault="00C56600" w:rsidP="00C56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600">
        <w:rPr>
          <w:rFonts w:ascii="Times New Roman" w:hAnsi="Times New Roman" w:cs="Times New Roman"/>
          <w:b/>
          <w:sz w:val="24"/>
          <w:szCs w:val="24"/>
        </w:rPr>
        <w:t>ПИСЬМО от 13 сентября 2023 г. № 02-12-12/87684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 Министерство финансов Российской Федерации рассмотрело обращение филиала публично-правовой компании от 11 августа 2023 г. по вопросу использования публично-правовой компанией (далее - ППК) сумм неустойки (штрафа, пени) за неисполнение (ненадлежащее исполнение) поставщиком (подрядчиком, исполнителем) обязательств по контракту и сообщает.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60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актов.</w:t>
      </w:r>
      <w:proofErr w:type="gramEnd"/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Вместе с тем полагаем возможным высказать мнение Минфина России по поставленному в обращении вопросу.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Согласно пункту 1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том числе в случае просрочки исполнения.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600">
        <w:rPr>
          <w:rFonts w:ascii="Times New Roman" w:hAnsi="Times New Roman" w:cs="Times New Roman"/>
          <w:sz w:val="24"/>
          <w:szCs w:val="24"/>
        </w:rPr>
        <w:t xml:space="preserve">Частью 4.1 статьи 15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44-ФЗ) установлено, что при предоставлении в соответствии с бюджетным законодательством Российской Федерации юридическим лицам субсидий, предусмотренных пунктами 8 и 8.1 статьи 78 и подпунктами 3 и 3.1 пункта 1 статьи 78.3</w:t>
      </w:r>
      <w:proofErr w:type="gramEnd"/>
      <w:r w:rsidRPr="00C5660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на юридических лиц, определенных указанными статьями, при осуществлении ими закупок, предусмотренных указанными статьями, распространяются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 в части, касающейся определения поставщиков (подрядчиков, исполнителей) и заключения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 контрактов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6600">
        <w:rPr>
          <w:rFonts w:ascii="Times New Roman" w:hAnsi="Times New Roman" w:cs="Times New Roman"/>
          <w:sz w:val="24"/>
          <w:szCs w:val="24"/>
        </w:rPr>
        <w:t xml:space="preserve"> Отношения, указанные в пунктах 2 и 3 части 1 статьи 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44-ФЗ. В соответствии с частью 4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 в контра</w:t>
      </w:r>
      <w:proofErr w:type="gramStart"/>
      <w:r w:rsidRPr="00C56600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C56600">
        <w:rPr>
          <w:rFonts w:ascii="Times New Roman" w:hAnsi="Times New Roman" w:cs="Times New Roman"/>
          <w:sz w:val="24"/>
          <w:szCs w:val="24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 (часть 6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44-ФЗ)</w:t>
      </w:r>
      <w:proofErr w:type="gramStart"/>
      <w:r w:rsidRPr="00C5660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C56600">
        <w:rPr>
          <w:rFonts w:ascii="Times New Roman" w:hAnsi="Times New Roman" w:cs="Times New Roman"/>
          <w:sz w:val="24"/>
          <w:szCs w:val="24"/>
        </w:rPr>
        <w:t xml:space="preserve">казанная норма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</w:t>
      </w:r>
      <w:r w:rsidRPr="00C56600">
        <w:rPr>
          <w:rFonts w:ascii="Times New Roman" w:hAnsi="Times New Roman" w:cs="Times New Roman"/>
          <w:sz w:val="24"/>
          <w:szCs w:val="24"/>
        </w:rPr>
        <w:lastRenderedPageBreak/>
        <w:t>44-ФЗ является нормой прямого действия и подлежит применению независимо от установленных условий контракта.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Таким образом, в случае просрочки исполнения поставщиком (подрядчиком, исполнителем) обязательств,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обязан направить поставщику (подрядчику, исполнителю) требование об уплате неустоек (штрафов, пеней)</w:t>
      </w:r>
      <w:proofErr w:type="gramStart"/>
      <w:r w:rsidRPr="00C5660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56600">
        <w:rPr>
          <w:rFonts w:ascii="Times New Roman" w:hAnsi="Times New Roman" w:cs="Times New Roman"/>
          <w:sz w:val="24"/>
          <w:szCs w:val="24"/>
        </w:rPr>
        <w:t>огласно положениям статьи 41 Бюджетного кодекса Российской Федерации (далее - Бюджетный кодекс) средства от применения мер гражданско-правовой ответственности, в случае если стороной договора является получатель бюджетных средств, действующий от имени публично-правового образования, относятся к неналоговым доходам бюджетов бюджетной системы Российской Федерации и подлежат зачислению в соответствующий бюджет.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600">
        <w:rPr>
          <w:rFonts w:ascii="Times New Roman" w:hAnsi="Times New Roman" w:cs="Times New Roman"/>
          <w:sz w:val="24"/>
          <w:szCs w:val="24"/>
        </w:rPr>
        <w:t>При этом положениями абзаца второго пункта 16 статьи 46 Бюджетного кодекса установлено, что суммы штрафов, неустоек, пеней, которые должны быть уплачены юридическим или физическим лицом в случае неисполнения или ненадлежащего исполнения поставщиком (подрядчиком, исполнителем) обязательств, предусмотренных государственным контрактом, заключенным государственной корпорацией, публично-правовой компанией, подлежат зачислению в федеральный бюджет по нормативу 100 процентов.</w:t>
      </w:r>
      <w:proofErr w:type="gramEnd"/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600">
        <w:rPr>
          <w:rFonts w:ascii="Times New Roman" w:hAnsi="Times New Roman" w:cs="Times New Roman"/>
          <w:sz w:val="24"/>
          <w:szCs w:val="24"/>
        </w:rPr>
        <w:t>Указанные положения Бюджетного кодекса распространяются на Государственную корпорацию по атомной энергии "</w:t>
      </w:r>
      <w:proofErr w:type="spellStart"/>
      <w:r w:rsidRPr="00C5660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C56600">
        <w:rPr>
          <w:rFonts w:ascii="Times New Roman" w:hAnsi="Times New Roman" w:cs="Times New Roman"/>
          <w:sz w:val="24"/>
          <w:szCs w:val="24"/>
        </w:rPr>
        <w:t>", Государственную корпорацию по космической деятельности "</w:t>
      </w:r>
      <w:proofErr w:type="spellStart"/>
      <w:r w:rsidRPr="00C5660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C56600">
        <w:rPr>
          <w:rFonts w:ascii="Times New Roman" w:hAnsi="Times New Roman" w:cs="Times New Roman"/>
          <w:sz w:val="24"/>
          <w:szCs w:val="24"/>
        </w:rPr>
        <w:t>", публично-правовую компанию "Единый заказчик в сфере строительства", которые в соответствии с положениями пунктов 8 и 8.1 статьи 241 Бюджетного кодекса осуществляют полномочия получателя бюджетных средств, в том числе полномочия государственного заказчика по заключению и исполнению от имени Российской Федерации государственных контрактов.</w:t>
      </w:r>
      <w:proofErr w:type="gramEnd"/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6600">
        <w:rPr>
          <w:rFonts w:ascii="Times New Roman" w:hAnsi="Times New Roman" w:cs="Times New Roman"/>
          <w:sz w:val="24"/>
          <w:szCs w:val="24"/>
        </w:rPr>
        <w:t xml:space="preserve">ППК, в соответствии с бюджетным законодательством Российской Федерации и понятиями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 Государственный заказчик - государственный орган (в том числе орган государственной власти), Государственная корпорация по атомной энергии "</w:t>
      </w:r>
      <w:proofErr w:type="spellStart"/>
      <w:r w:rsidRPr="00C5660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C56600">
        <w:rPr>
          <w:rFonts w:ascii="Times New Roman" w:hAnsi="Times New Roman" w:cs="Times New Roman"/>
          <w:sz w:val="24"/>
          <w:szCs w:val="24"/>
        </w:rPr>
        <w:t>", Государственная корпорация по космической деятельности "</w:t>
      </w:r>
      <w:proofErr w:type="spellStart"/>
      <w:r w:rsidRPr="00C56600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C56600">
        <w:rPr>
          <w:rFonts w:ascii="Times New Roman" w:hAnsi="Times New Roman" w:cs="Times New Roman"/>
          <w:sz w:val="24"/>
          <w:szCs w:val="24"/>
        </w:rPr>
        <w:t>", публично-правовая компания "Единый заказчик в сфере строительства",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 Российской Федерации, уполномоченные</w:t>
      </w:r>
      <w:proofErr w:type="gramEnd"/>
      <w:r w:rsidRPr="00C56600">
        <w:rPr>
          <w:rFonts w:ascii="Times New Roman" w:hAnsi="Times New Roman" w:cs="Times New Roman"/>
          <w:sz w:val="24"/>
          <w:szCs w:val="24"/>
        </w:rPr>
        <w:t xml:space="preserve">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 (пункт 5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44-ФЗ), не является получателем бюджетных средств, государственным заказчиком и не имеет полномочий на заключение государственных контрактов.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 xml:space="preserve">Государственный контракт - гражданско-правовой договор, предметом которого являются поставка товара, выполнение работы, оказание услуги и который </w:t>
      </w:r>
      <w:r w:rsidRPr="00C56600">
        <w:rPr>
          <w:rFonts w:ascii="Times New Roman" w:hAnsi="Times New Roman" w:cs="Times New Roman"/>
          <w:sz w:val="24"/>
          <w:szCs w:val="24"/>
        </w:rPr>
        <w:lastRenderedPageBreak/>
        <w:t xml:space="preserve">заключен от имени Российской Федерации, субъекта Российской Федерации государственным заказчиком для обеспечения, соответственно, государственных нужд (пункт 8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56600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56600">
        <w:rPr>
          <w:rFonts w:ascii="Times New Roman" w:hAnsi="Times New Roman" w:cs="Times New Roman"/>
          <w:sz w:val="24"/>
          <w:szCs w:val="24"/>
        </w:rPr>
        <w:t>Учитывая вышеизложенное, суммы неустойки (штрафа, пени) за неисполнение (ненадлежащее исполнение) поставщиком (подрядчиком, исполнителем) обязательств по контрактам (договорам), источником финансового обеспечения которых являются средства субсидии, предоставленной ППК в соответствии со статьей 78.3 Бюджетного кодекса, подлежат зачислению на расчетный счет, открытый заказчику по контракту (договору) в кредитной организации.</w:t>
      </w:r>
      <w:proofErr w:type="gramEnd"/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 xml:space="preserve"> Поступившие на расчетный счет указанные средства требуется учитывать при реализации инвестиционного проекта.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Суммы неустоек (штрафов, пеней), поступивших на лицевой счет участника казначейского сопровождения, по мнению Минфина России, подлежат возврату отправителю как ошибочно зачисленные. </w:t>
      </w: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А.М.ЛАВРОВ</w:t>
      </w:r>
    </w:p>
    <w:p w:rsidR="0015691F" w:rsidRPr="00C56600" w:rsidRDefault="00C56600" w:rsidP="00C56600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C56600">
        <w:rPr>
          <w:rFonts w:ascii="Times New Roman" w:hAnsi="Times New Roman" w:cs="Times New Roman"/>
          <w:sz w:val="24"/>
          <w:szCs w:val="24"/>
        </w:rPr>
        <w:t>13.09.2023 </w:t>
      </w:r>
    </w:p>
    <w:p w:rsidR="00C56600" w:rsidRPr="00C56600" w:rsidRDefault="00C566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6600" w:rsidRPr="00C56600" w:rsidSect="0015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600"/>
    <w:rsid w:val="0015691F"/>
    <w:rsid w:val="00C5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1017</Words>
  <Characters>5798</Characters>
  <Application>Microsoft Office Word</Application>
  <DocSecurity>0</DocSecurity>
  <Lines>48</Lines>
  <Paragraphs>13</Paragraphs>
  <ScaleCrop>false</ScaleCrop>
  <Company>Krokoz™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2023-10-25T07:34:00Z</dcterms:created>
  <dcterms:modified xsi:type="dcterms:W3CDTF">2023-10-25T07:46:00Z</dcterms:modified>
</cp:coreProperties>
</file>