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49" w:rsidRPr="004C7B49" w:rsidRDefault="004C7B49" w:rsidP="004C7B4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4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C7B49" w:rsidRPr="004C7B49" w:rsidRDefault="004C7B49" w:rsidP="004C7B4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B49" w:rsidRPr="004C7B49" w:rsidRDefault="004C7B49" w:rsidP="004C7B4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4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C7B49" w:rsidRPr="004C7B49" w:rsidRDefault="004C7B49" w:rsidP="004C7B4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49">
        <w:rPr>
          <w:rFonts w:ascii="Times New Roman" w:hAnsi="Times New Roman" w:cs="Times New Roman"/>
          <w:b/>
          <w:sz w:val="24"/>
          <w:szCs w:val="24"/>
        </w:rPr>
        <w:t xml:space="preserve">от 10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C7B49">
        <w:rPr>
          <w:rFonts w:ascii="Times New Roman" w:hAnsi="Times New Roman" w:cs="Times New Roman"/>
          <w:b/>
          <w:sz w:val="24"/>
          <w:szCs w:val="24"/>
        </w:rPr>
        <w:t xml:space="preserve"> 02-12-08/64594 "О санкционировании расходов на технологическое присоединение в рамках концессионного соглашения и по муниципальному контракту на приобретение квартир путем инвестирования в строительство МКД"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 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рассмотрело письмо от 3 июля 2024 г., направленное письмом от 8 июля 2024 г., по вопросу разъяснения положений нормативных правовых актов, регулирующих казначейское сопровождение, и сообщает.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329, Минфину России не предоставлено право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B49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Вместе с тем Минфин России считает возможным выразить в рамках компетенции свою позицию по поставленным в письме вопросам.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По вопросу о возможности осуществления расходов с лицевого счета участника казначейского сопровождения ООО по договору, заключенному с ПАО на технологическое присоединение </w:t>
      </w:r>
      <w:proofErr w:type="spellStart"/>
      <w:r w:rsidRPr="004C7B4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4C7B49">
        <w:rPr>
          <w:rFonts w:ascii="Times New Roman" w:hAnsi="Times New Roman" w:cs="Times New Roman"/>
          <w:sz w:val="24"/>
          <w:szCs w:val="24"/>
        </w:rPr>
        <w:t xml:space="preserve"> устройств объекта трамвайной инфраструктуры за счет средств капитального гранта по концессионному соглашению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Исходя из информации, указанной в письме: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договор об осуществлении технологического присоединения к электрическим сетям межд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у ООО и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ПАО от 4 июня 2024 г. заключен в рамках концессионного соглашения 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от 26 декабря 2022 г. (далее соответственно - технологическое присоединение, Концессионное соглашение);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1 к Концессионному соглашению, определяющим используемые в указанном соглашении термины, предусмотрено, что расходы на технологическое присоединение входят в состав расходов на строительство. При этом указанные расходы должны быть предусмотрены проектной документацией;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проектная документация в УФК по области не представлена (на текущий момент не готова).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B49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3 статьи 5 Федерального закона от 6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390-ФЗ "О федеральном бюджете на 2022 год и на плановый период 2023 и 2024 годов" территориальные органы Федерального казначейства осуществляют казначейское сопровождение в том числе в отношении субсидий на финансовое обеспечение затрат в соответствии с концессионными соглашениями, предоставляемых из бюджета субъекта Российской Федерации, источником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финансового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которых являются межбюджетные трансферты, имеющие целевое назначение, предоставляемые из федерального бюджета бюджету субъекта Российской Федерации на </w:t>
      </w:r>
      <w:proofErr w:type="spellStart"/>
      <w:r w:rsidRPr="004C7B4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C7B49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капитального строительства, а также расчетов по контрактам (договорам) о поставке товаров, выполнении работ, оказании услуг, заключаемым на сумму более 600,0 тыс. рублей исполнителями и соисполнителями в рамках исполнения указанных концессионных соглашений.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имеется в виду пункт 4 статьи 242.23 БК РФ, а не пункт 3 пункта 242.23.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B49">
        <w:rPr>
          <w:rFonts w:ascii="Times New Roman" w:hAnsi="Times New Roman" w:cs="Times New Roman"/>
          <w:sz w:val="24"/>
          <w:szCs w:val="24"/>
        </w:rPr>
        <w:t xml:space="preserve">Согласно положениям пункта 3 пункта 242.23 Бюджетного кодекса Российской Федерации (далее - Бюджетный кодекс) Федеральное казначейство осуществляет санкционирование операций со средствами участников казначейского сопровождения в соответствии с порядком, установленным нормативным правовым актом Минфина России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Минфина России от 17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214н), содержащим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 xml:space="preserve">в том числе положения об осуществлении операций на лицевом счете после проверки информации о суммах и направлениях использования средств, указанной в распоряжении о совершении казначейского платежа, на ее соответствие информации, содержащейся в договоре (соглашении) о предоставлении субсидии, контракте (договоре) о поставке товаров, выполнении работ, оказании услуг и документах, подтверждающих возникновение денежных обязательств участника казначейского сопровождения, установленных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214н.</w:t>
      </w:r>
      <w:proofErr w:type="gramEnd"/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Учитывая положения вышеуказанных нормативных правовых актов, а также принимая во внимание указанную в рассматриваемом письме информацию о наличии в Концессионном соглашении условий о том, что расходы на технологическое присоединение должны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предусмотрены проектной документацией, санкционирование расходов на осуществление указанных расходов, по мнению Минфина России, возможно в соответствии с условиями Концессионного соглашения,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 при условии представления в территориальный орган Федерального казначейства </w:t>
      </w:r>
      <w:r w:rsidRPr="004C7B49">
        <w:rPr>
          <w:rFonts w:ascii="Times New Roman" w:hAnsi="Times New Roman" w:cs="Times New Roman"/>
          <w:sz w:val="24"/>
          <w:szCs w:val="24"/>
        </w:rPr>
        <w:lastRenderedPageBreak/>
        <w:t>проектной документации, утвержденной в установленном в соответствии с законодательством Российской Федерации порядке.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По вопросу порядка расходования средств авансового платежа по муниципальному контракту на приобретение в муниципальную собственность жилых помещений (благоустроенных квартир) путем инвестирования в строительство жилого дома или договора долевого участия в строительстве многоквартирного жилого дома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Исходя из предоставленной информации: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муниципальный контракт от 12 декабря 2023 г. заключен между Администрацией городского поселения област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и и ООО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(единый поставщик) (далее соответственно - Муниципальный контракт, муниципальный заказчик, застройщик);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предметом Муниципального контракта является приобретение в муниципальную собственность жилых помещений (благоустроенных квартир) путем инвестирования в строительство жилого дома или договора долевого участия в строительстве многоквартирного жилого дома (пункт 2.2 Муниципального контракта);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застройщик обязуется своими силами либо силами третьих лиц и с привлечением финансовых средств муниципального заказчика построить (создать) многоквартирный жилой дом (пункт 2.2 Муниципального контракта);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в соответствии с пунктом 2 дополнительного соглашения от 14 декабря 2023 г. к Муниципальному контракту: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авансовый платеж в размере 50% от цены Муниципального контракта;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окончательный платеж осуществляется на основании акта приемки-передачи квартир, предусмотренного пунктом 6.1 Муниципального контракта.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подпункта 2 пункта 1 статьи 242.26 Бюджетного кодекса средства, предоставляемые из местного бюджета, подлежащие казначейскому сопровождению (далее - целевые средства), могут быть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в том числе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466-ФЗ "О федеральном бюджете на 2023 год и на плановый период 2024 и 2025 годов"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466-ФЗ).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B49">
        <w:rPr>
          <w:rFonts w:ascii="Times New Roman" w:hAnsi="Times New Roman" w:cs="Times New Roman"/>
          <w:sz w:val="24"/>
          <w:szCs w:val="24"/>
        </w:rPr>
        <w:t xml:space="preserve">В 2023 году подпунктом 3 части 3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466-ФЗ установлено, что территориальные органы Федерального казначейства осуществляют казначейское сопровождение расчетов по государственным (муниципальным) контрактам, заключаемым в соответствии с пунктом 2 части 1 статьи 93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44-ФЗ) и (или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) в иных случаях, установленных в соответствии с другими федеральными законами, принятыми в целях реализации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В соответствии с пунктом 4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 санкционирование операций с целевыми средствами осуществляется на основании Сведений об операциях с целевыми средствами, в которых указываются источники поступлений, а также направления </w:t>
      </w:r>
      <w:r w:rsidRPr="004C7B49">
        <w:rPr>
          <w:rFonts w:ascii="Times New Roman" w:hAnsi="Times New Roman" w:cs="Times New Roman"/>
          <w:sz w:val="24"/>
          <w:szCs w:val="24"/>
        </w:rPr>
        <w:lastRenderedPageBreak/>
        <w:t xml:space="preserve">расходования целевых средств,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в том числе предмету и условиям муниципального контракта (далее - Сведения).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7B49">
        <w:rPr>
          <w:rFonts w:ascii="Times New Roman" w:hAnsi="Times New Roman" w:cs="Times New Roman"/>
          <w:sz w:val="24"/>
          <w:szCs w:val="24"/>
        </w:rPr>
        <w:t xml:space="preserve"> 214н определен перечень кодов направлений расходования целевых средств,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содержащий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в том числе 0410 "Капитальные вложения", который указывается в Сведениях в целях осуществления выплат по оплате контрактов, договоров на строительство (реконструкцию, в том числе с элементами реставрации, технического перевооружения) объектов капитального строительства или приобретение объектов недвижимого имущества.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 xml:space="preserve">Учитывая изложенное, санкционирование расходов по муниципальному контракту, предметом которого является приобретение объекта недвижимого имущества, в том числе путем инвестирования в строительство многоквартирного жилого дома, по мнению Минфина России, осуществляется на основании Сведений с указанием в направлениях расходования целевых </w:t>
      </w:r>
      <w:proofErr w:type="gramStart"/>
      <w:r w:rsidRPr="004C7B49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4C7B49">
        <w:rPr>
          <w:rFonts w:ascii="Times New Roman" w:hAnsi="Times New Roman" w:cs="Times New Roman"/>
          <w:sz w:val="24"/>
          <w:szCs w:val="24"/>
        </w:rPr>
        <w:t xml:space="preserve"> в том числе кода направления расходования целевых средств 0410 "Капитальные вложения".</w:t>
      </w:r>
    </w:p>
    <w:p w:rsidR="004C7B49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 </w:t>
      </w:r>
    </w:p>
    <w:p w:rsidR="004C7B49" w:rsidRPr="004C7B49" w:rsidRDefault="004C7B49" w:rsidP="004C7B49">
      <w:pPr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А.М.ЛАВРОВ</w:t>
      </w:r>
    </w:p>
    <w:p w:rsidR="004C7B49" w:rsidRPr="004C7B49" w:rsidRDefault="004C7B49" w:rsidP="004C7B49">
      <w:pPr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10.07.2024</w:t>
      </w:r>
    </w:p>
    <w:p w:rsidR="006D4581" w:rsidRPr="004C7B49" w:rsidRDefault="004C7B49" w:rsidP="004C7B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7B49">
        <w:rPr>
          <w:rFonts w:ascii="Times New Roman" w:hAnsi="Times New Roman" w:cs="Times New Roman"/>
          <w:sz w:val="24"/>
          <w:szCs w:val="24"/>
        </w:rPr>
        <w:t> </w:t>
      </w:r>
    </w:p>
    <w:sectPr w:rsidR="006D4581" w:rsidRPr="004C7B49" w:rsidSect="006D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B49"/>
    <w:rsid w:val="004C7B49"/>
    <w:rsid w:val="006D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1334</Words>
  <Characters>7605</Characters>
  <Application>Microsoft Office Word</Application>
  <DocSecurity>0</DocSecurity>
  <Lines>63</Lines>
  <Paragraphs>17</Paragraphs>
  <ScaleCrop>false</ScaleCrop>
  <Company>Krokoz™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2024-10-01T07:16:00Z</dcterms:created>
  <dcterms:modified xsi:type="dcterms:W3CDTF">2024-10-01T07:25:00Z</dcterms:modified>
</cp:coreProperties>
</file>