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F6A" w:rsidRPr="001B6236" w:rsidRDefault="00745F6A" w:rsidP="001B6236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236">
        <w:rPr>
          <w:rFonts w:ascii="Times New Roman" w:hAnsi="Times New Roman" w:cs="Times New Roman"/>
          <w:b/>
          <w:sz w:val="28"/>
          <w:szCs w:val="28"/>
        </w:rPr>
        <w:t>Письмо Минфина России от 20 марта 2025 г. № 24-03-08/27794 “</w:t>
      </w:r>
      <w:r w:rsidR="001B6236" w:rsidRPr="001B6236">
        <w:rPr>
          <w:rFonts w:ascii="Times New Roman" w:hAnsi="Times New Roman" w:cs="Times New Roman"/>
          <w:b/>
          <w:sz w:val="28"/>
          <w:szCs w:val="28"/>
        </w:rPr>
        <w:t>О применении постановления Правительства РФ от 23.12.2024 №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  <w:r w:rsidRPr="001B6236">
        <w:rPr>
          <w:rFonts w:ascii="Times New Roman" w:hAnsi="Times New Roman" w:cs="Times New Roman"/>
          <w:b/>
          <w:sz w:val="28"/>
          <w:szCs w:val="28"/>
        </w:rPr>
        <w:t>”</w:t>
      </w:r>
    </w:p>
    <w:p w:rsidR="001B6236" w:rsidRDefault="001B6236" w:rsidP="001B6236">
      <w:pPr>
        <w:ind w:firstLine="1276"/>
        <w:rPr>
          <w:rFonts w:ascii="Times New Roman" w:hAnsi="Times New Roman" w:cs="Times New Roman"/>
          <w:sz w:val="24"/>
          <w:szCs w:val="24"/>
        </w:rPr>
      </w:pPr>
    </w:p>
    <w:p w:rsidR="001B6236" w:rsidRPr="00745F6A" w:rsidRDefault="001B6236" w:rsidP="001B6236">
      <w:pPr>
        <w:rPr>
          <w:rFonts w:ascii="Times New Roman" w:hAnsi="Times New Roman" w:cs="Times New Roman"/>
          <w:sz w:val="24"/>
          <w:szCs w:val="24"/>
        </w:rPr>
      </w:pPr>
    </w:p>
    <w:p w:rsidR="00745F6A" w:rsidRPr="001B6236" w:rsidRDefault="00745F6A" w:rsidP="001B6236">
      <w:pPr>
        <w:ind w:firstLine="1276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B6236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от 3 марта 2025 г., сообщает следующее.</w:t>
      </w:r>
    </w:p>
    <w:p w:rsidR="00745F6A" w:rsidRPr="001B6236" w:rsidRDefault="00745F6A" w:rsidP="001B6236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1B6236">
        <w:rPr>
          <w:rFonts w:ascii="Times New Roman" w:hAnsi="Times New Roman" w:cs="Times New Roman"/>
          <w:sz w:val="24"/>
          <w:szCs w:val="24"/>
        </w:rPr>
        <w:t xml:space="preserve">Согласно положениям пункта 11.8 Регламента Министерства финансов Российской Федерации, утвержденного приказом Минфина России от 14 октября 2018 г. </w:t>
      </w:r>
      <w:r w:rsidR="001B6236" w:rsidRPr="001B6236">
        <w:rPr>
          <w:rFonts w:ascii="Times New Roman" w:hAnsi="Times New Roman" w:cs="Times New Roman"/>
          <w:sz w:val="24"/>
          <w:szCs w:val="24"/>
        </w:rPr>
        <w:t>№</w:t>
      </w:r>
      <w:r w:rsidRPr="001B6236">
        <w:rPr>
          <w:rFonts w:ascii="Times New Roman" w:hAnsi="Times New Roman" w:cs="Times New Roman"/>
          <w:sz w:val="24"/>
          <w:szCs w:val="24"/>
        </w:rPr>
        <w:t xml:space="preserve"> 194н, Минфин России не осуществляет разъяснение законодательства Российской Федерации и практики его применения, толкование норм, терминов и понятий, не проводит экспертизу документов и не оценивает конкретные хозяйственные ситуации.</w:t>
      </w:r>
    </w:p>
    <w:p w:rsidR="00745F6A" w:rsidRPr="001B6236" w:rsidRDefault="00745F6A" w:rsidP="001B6236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1B6236">
        <w:rPr>
          <w:rFonts w:ascii="Times New Roman" w:hAnsi="Times New Roman" w:cs="Times New Roman"/>
          <w:sz w:val="24"/>
          <w:szCs w:val="24"/>
        </w:rPr>
        <w:t xml:space="preserve">При этом Департамент считает возможным сообщить позицию по вопросам применения положений постановления Правительства Российской Федерации от 23 декабря 2024 г. </w:t>
      </w:r>
      <w:r w:rsidR="001B6236" w:rsidRPr="001B6236">
        <w:rPr>
          <w:rFonts w:ascii="Times New Roman" w:hAnsi="Times New Roman" w:cs="Times New Roman"/>
          <w:sz w:val="24"/>
          <w:szCs w:val="24"/>
        </w:rPr>
        <w:t>№</w:t>
      </w:r>
      <w:r w:rsidRPr="001B6236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в прилагаемой таблице.</w:t>
      </w:r>
    </w:p>
    <w:p w:rsidR="00745F6A" w:rsidRPr="001B6236" w:rsidRDefault="00745F6A" w:rsidP="001B6236">
      <w:pPr>
        <w:ind w:firstLine="1276"/>
        <w:rPr>
          <w:rFonts w:ascii="Times New Roman" w:hAnsi="Times New Roman" w:cs="Times New Roman"/>
          <w:sz w:val="24"/>
          <w:szCs w:val="24"/>
        </w:rPr>
      </w:pPr>
    </w:p>
    <w:bookmarkEnd w:id="0"/>
    <w:p w:rsidR="00745F6A" w:rsidRPr="00745F6A" w:rsidRDefault="00745F6A" w:rsidP="001B6236">
      <w:pPr>
        <w:ind w:firstLine="1276"/>
        <w:rPr>
          <w:rFonts w:ascii="Times New Roman" w:hAnsi="Times New Roman" w:cs="Times New Roman"/>
          <w:sz w:val="24"/>
          <w:szCs w:val="24"/>
        </w:rPr>
      </w:pPr>
      <w:r w:rsidRPr="00745F6A">
        <w:rPr>
          <w:rFonts w:ascii="Times New Roman" w:hAnsi="Times New Roman" w:cs="Times New Roman"/>
          <w:sz w:val="24"/>
          <w:szCs w:val="24"/>
        </w:rPr>
        <w:t>Приложение: на 4 л. в 1 экз.</w:t>
      </w:r>
    </w:p>
    <w:p w:rsidR="00745F6A" w:rsidRPr="00745F6A" w:rsidRDefault="00745F6A" w:rsidP="001B6236">
      <w:pPr>
        <w:ind w:firstLine="1276"/>
        <w:rPr>
          <w:rFonts w:ascii="Times New Roman" w:hAnsi="Times New Roman" w:cs="Times New Roman"/>
          <w:sz w:val="24"/>
          <w:szCs w:val="24"/>
        </w:rPr>
      </w:pPr>
    </w:p>
    <w:p w:rsidR="00745F6A" w:rsidRPr="00745F6A" w:rsidRDefault="00745F6A" w:rsidP="001B6236">
      <w:pPr>
        <w:rPr>
          <w:rFonts w:ascii="Times New Roman" w:hAnsi="Times New Roman" w:cs="Times New Roman"/>
          <w:sz w:val="24"/>
          <w:szCs w:val="24"/>
        </w:rPr>
      </w:pPr>
      <w:r w:rsidRPr="00745F6A">
        <w:rPr>
          <w:rFonts w:ascii="Times New Roman" w:hAnsi="Times New Roman" w:cs="Times New Roman"/>
          <w:sz w:val="24"/>
          <w:szCs w:val="24"/>
        </w:rPr>
        <w:t>Заместитель</w:t>
      </w:r>
    </w:p>
    <w:p w:rsidR="001B6236" w:rsidRDefault="00745F6A" w:rsidP="001B6236">
      <w:pPr>
        <w:rPr>
          <w:rFonts w:ascii="Times New Roman" w:hAnsi="Times New Roman" w:cs="Times New Roman"/>
          <w:sz w:val="24"/>
          <w:szCs w:val="24"/>
        </w:rPr>
      </w:pPr>
      <w:r w:rsidRPr="00745F6A">
        <w:rPr>
          <w:rFonts w:ascii="Times New Roman" w:hAnsi="Times New Roman" w:cs="Times New Roman"/>
          <w:sz w:val="24"/>
          <w:szCs w:val="24"/>
        </w:rPr>
        <w:t>директора Департамента</w:t>
      </w:r>
      <w:r w:rsidRPr="00745F6A">
        <w:rPr>
          <w:rFonts w:ascii="Times New Roman" w:hAnsi="Times New Roman" w:cs="Times New Roman"/>
          <w:sz w:val="24"/>
          <w:szCs w:val="24"/>
        </w:rPr>
        <w:tab/>
      </w:r>
    </w:p>
    <w:p w:rsidR="00745F6A" w:rsidRDefault="00745F6A" w:rsidP="001B6236">
      <w:pPr>
        <w:rPr>
          <w:rFonts w:ascii="Times New Roman" w:hAnsi="Times New Roman" w:cs="Times New Roman"/>
          <w:sz w:val="24"/>
          <w:szCs w:val="24"/>
        </w:rPr>
      </w:pPr>
      <w:r w:rsidRPr="00745F6A">
        <w:rPr>
          <w:rFonts w:ascii="Times New Roman" w:hAnsi="Times New Roman" w:cs="Times New Roman"/>
          <w:sz w:val="24"/>
          <w:szCs w:val="24"/>
        </w:rPr>
        <w:t>А.В. Гриненко</w:t>
      </w:r>
    </w:p>
    <w:p w:rsidR="001B6236" w:rsidRPr="00745F6A" w:rsidRDefault="001B6236" w:rsidP="001B6236">
      <w:pPr>
        <w:rPr>
          <w:rFonts w:ascii="Times New Roman" w:hAnsi="Times New Roman" w:cs="Times New Roman"/>
          <w:sz w:val="24"/>
          <w:szCs w:val="24"/>
        </w:rPr>
      </w:pPr>
    </w:p>
    <w:p w:rsidR="00745F6A" w:rsidRPr="00745F6A" w:rsidRDefault="00745F6A" w:rsidP="001B623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F6A">
        <w:rPr>
          <w:rFonts w:ascii="Times New Roman" w:hAnsi="Times New Roman" w:cs="Times New Roman"/>
          <w:sz w:val="24"/>
          <w:szCs w:val="24"/>
        </w:rPr>
        <w:t>Таблица</w:t>
      </w:r>
    </w:p>
    <w:p w:rsidR="00745F6A" w:rsidRPr="00745F6A" w:rsidRDefault="00745F6A" w:rsidP="00745F6A">
      <w:pPr>
        <w:rPr>
          <w:rFonts w:ascii="Times New Roman" w:hAnsi="Times New Roman" w:cs="Times New Roman"/>
          <w:sz w:val="24"/>
          <w:szCs w:val="24"/>
        </w:rPr>
      </w:pPr>
      <w:r w:rsidRPr="00745F6A">
        <w:rPr>
          <w:rFonts w:ascii="Times New Roman" w:hAnsi="Times New Roman" w:cs="Times New Roman"/>
          <w:sz w:val="24"/>
          <w:szCs w:val="24"/>
        </w:rPr>
        <w:t xml:space="preserve">рассмотрения обращения от 3 марта 2025 г. по вопросам применения положений постановления Правительства Российской Федерации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="001B6236">
        <w:rPr>
          <w:rFonts w:ascii="Times New Roman" w:hAnsi="Times New Roman" w:cs="Times New Roman"/>
          <w:sz w:val="24"/>
          <w:szCs w:val="24"/>
        </w:rPr>
        <w:t>№</w:t>
      </w:r>
      <w:r w:rsidRPr="00745F6A">
        <w:rPr>
          <w:rFonts w:ascii="Times New Roman" w:hAnsi="Times New Roman" w:cs="Times New Roman"/>
          <w:sz w:val="24"/>
          <w:szCs w:val="24"/>
        </w:rPr>
        <w:t xml:space="preserve"> 1875)</w:t>
      </w:r>
    </w:p>
    <w:tbl>
      <w:tblPr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682"/>
        <w:gridCol w:w="4839"/>
      </w:tblGrid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1B6236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Обращение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Результат рассмотрения</w:t>
            </w:r>
          </w:p>
        </w:tc>
      </w:tr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 соответствии с подпунктом "и" пункта 5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запрет может не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применяться, если осуществляется закупка товаров, не относящихся к товарам и программному обеспечению, указанным в позициях 17, 27, 35, 53, 140, 141, 144 и 146 приложения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 к Постановлению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(далее - Перечень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1), при которой начальная (максимальная) цена контракта или цена контракта, заключаемого с единственным поставщиком (подрядчиком, исполнителем) (далее - НМЦК), не превышает 1 млн рублей, при этом ни одна из использованных при определении таких цен цена единицы товара не превышает 300 тыс. рублей.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При этом не является однозначно определенным, какая именно цена не должна превышать 300 тысяч рублей: каждая из использованных заказчиком цен, полученных от поставщиков (в пределах, соответствующих допустимому коэффициенту вариации, совокупность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 на рис. 1), или только использованные для обоснования цены значения среднего арифметического цен (совокупность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 на рис. 1), полученных от поставщиков.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Просим пояснить, о каком значении использованных цен идет речь в Постановлении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Заказчик определяет и обосновывает НМЦК в соответствии с положениями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статьи 22 Федерального закона от 5 апреля 2013 г.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44-ФЗ) с учетом установленных особенностей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в том числе товаров, поставляемых при выполнении закупаемых работ, оказании закупаемых услуг, начальной цены единицы работы, услуги, установленных подпунктом "в" пункта 7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(далее - особенности определения цен).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Постановление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не регулирует вопросы непосредственно расчета заказчиком НМЦК, в том числе значений цен, предусмотренных подпунктом "и" пункта 5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1875, в связи с чем такие вопросы решаются заказчиком в общем порядке в соответствии с положениями вышеуказанной статьи.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Положения подпункта "и" пункта 5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1875, касающиеся 300 тыс. рублей, применяются в отношении цены единицы товара, использованной для определения НМЦК. Требования к ценам, используемым в свою очередь для определения цены такой единицы товара, подпунктом "и" пункта 5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не предъявляются.</w:t>
            </w:r>
          </w:p>
        </w:tc>
      </w:tr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Каким образом должен поступить заказчик при невозможности получения удовлетворяющей информации в реестре контрактов ОС ЕИС? Допустимо ли после совершения действий, указанных в подпункте "в" пункта 7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1875, направлять необходимые запросы потенциальным поставщикам, исполнителям, подрядчикам, не являющимся производителями?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Предлагаем дополнить указанный пункт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нормой о допустимости указанных выше действий заказчика, а также о применении проектно-сметного метода в случае закупки работ, поименованных в части 9 статьи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Позиция Департамента изложена в пунктах 11.1 и 11.4 письма Минфина России от 31 января 2025 г.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24-01-06/8697 (размещено на официальном сайте Минфина России в информационно-телекоммуникационной сети Интернет) (далее - Письмо).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При этом Департамент отмечает, что положения подпункта "в" пункта 7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1875: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устанавливают особенности в отношении применения метода сопоставимых рыночных цен (анализа рынка) в части направления запроса, предусмотренного частью 5 статьи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44-ФЗ, а также определения идентичности и однородности товаров в соответствии с частями 13 и 14 статьи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44-ФЗ;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не устанавливают особенности в отношении иных положений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44-ФЗ, в том числе касающихся применения иных методов определения НМЦК, не отменяют и не изменяют такие положения, в связи с чем особенности определения цен не подлежат применению при использовании иных предусмотренных статьей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методов определения НМЦК, в том числе не подлежат применению в отношении проектно-сметного метода.</w:t>
            </w:r>
          </w:p>
        </w:tc>
      </w:tr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 соответствии с подпунктом "в" пункта 4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допускается включать в один объект закупки (предмет закупки) товары, работы, услуги как указанные в Перечнях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 и приложении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 к Постановлению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(далее - Перечень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2), так и не указанные в таких перечнях. Кроме того, запрет, ограничение и преимущество (далее - "защитные" меры) устанавливаются также при закупке товаров, поставляемых при выполнении закупаемых работ, оказании закупаемых услуг.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Вместе с тем механизм получения ценовой информации в отношении товара, работы, услуги для определения НМЦК, предусмотренный приказом Минэкономразвития России от 2 октября 2013 г.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567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(далее - Приказ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567), подразумевает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направление запроса о предоставлении ценовой информации в целом по закупке, что позволяет сформировать потенциальным поставщикам (подрядчикам, исполнителям) объективное ценовое предложение с учетом основных условий исполнения контракта.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Просим разъяснить механизм направления запроса о предоставлении информации о цене товаров производителям из ГИСП с учетом следующих возможных ситуаций: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- Предмет закупки включает в себя поставку товаров, указанных в Перечне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 и (или) Перечне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2, а также товаров, в отношении которых применяется преимущество. При этом в ГИСП содержится информация о производителях, которые производят лишь некоторые требуемые к закупке товары из перечней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 и (или)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2. Информацию о каких товарах должен содержать запрос о предоставлении информации о цене товаров, направляемый производителям из ГИСП? Достаточно ли указания в запросе цены только на требуемый товар, который производится конкретным производителем, или необходимо описать полный перечень закупаемых в составе лота товаров с указанием их характеристик?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- Каким образом в подобной ситуации должен поступить заказчик при закупке строительных или иных работ, в ходе которых поставляется товар, в отношении которого предусмотрено применение мер национального режима? Должен ли запрос о предоставлении информации о цене товаров, направляемый производителю из ГИСП, содержать информацию о необходимости выполнения работ и поставке товара или только о поставке товара, а также должен ли запрос о предоставлении ценовой информации, направляемый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потенциальным поставщикам (подрядчикам, исполнителям) (в случае, если такие действия допустимы) в соответствии с Приказом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567, содержать информацию о необходимости выполнения работ и поставке товара или только о необходимости выполнения работ?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- Будет ли информация о ценах товаров, работ, услуг, полученная по отдельности из разных источников, соответствовать требованиям части 3 статьи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44-ФЗ, то есть считаться полученной с учетом сопоставимых с условиями планируемой закупки коммерческих и (или) финансовых условий поставок товаров, выполнения работ, оказания услуг?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Аналогично пункту 2 настоящей таблицы.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Кроме того, особенности определения цен не устанавливают требования к содержанию предусмотренного ими запроса о предоставлении информации о цене товаров, в связи с чем заказчик с учетом положений статьи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определяет такое содержание самостоятельно.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Дополнительно Департамент отмечает, что положения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567, не носят нормативного характера, в связи с чем не подлежат обязательному применению заказчиком при осуществлении закупок.</w:t>
            </w:r>
          </w:p>
        </w:tc>
      </w:tr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Просим пояснить, каким образом применяется (если применяется) Постановление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в случае, если результатом исполнения контракта на выполнение работ, оказание услуг будет конкретный товар, передаваемый заказчику? При этом в ходе выполнения работ, оказания услуг никакой товар для постановки на учет заказчику не передается.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Предусмотренные Постановлением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"защитные" меры применяются как в отношении закупаемых товаров, так и в отношении товаров, поставляемых заказчику при выполнении закупаемых работ, оказании закупаемых услуг, то есть товаров, передаваемых поставщиком (подрядчиком, исполнителем) заказчику и принимаемых заказчиком в соответствии с законодательством Российской Федерации о бухгалтерском учете к бухгалтерскому учету.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Соответственно, указанные "защитные" меры не применяются в отношении товаров, которые заказчику не передаются и не принимаются заказчиком к бухгалтерскому учету в соответствии с законодательством Российской Федерации о бухгалтерском учете.</w:t>
            </w:r>
          </w:p>
        </w:tc>
      </w:tr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 соответствии с подпунктом "г" пункта 7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особенности определения НМЦК не применяются при наступлении случая осуществления закупки товара, включенного в объект закупки (предмет закупки), в отношении которого в соответствии с частью 22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статьи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установлен порядок определения НМЦК.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Так, для закупки медицинских изделий при определении НМЦК заказчики должны руководствоваться приказом Минздрава России от 15 мая 2020 г.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450н).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 соответствии с пунктом 2 порядка, утвержденного Приказом 450н, порядок не применяется при закупке медицинских изделий, являющихся радиоэлектронной продукцией, включенной в реестр российской радиоэлектронной продукции, в случае установления заказчиком ограничения на допуск радиоэлектронной продукции, происходящей из иностранных государств, в соответствии с постановлением Правительства Российской Федерации от 10 июля 2019 г.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925 и признании утратившими силу некоторых актов Правительства Российской Федерации".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Просим разъяснить, распространяются ли особенности определения НМЦК, предусмотренные подпунктом "в" пункта 7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1875, при закупке из Перечня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 медицинских изделий, являющихся радиоэлектронной продукцией, или необходимо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руководствоваться порядком, предусмотренным Приказом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450н.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Позиция Департамента изложена в пункте 11.5 Письма.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При этом Департамент отмечает, что в случае, если в отношении товара нормативным правовым актом, изданным в соответствии с частью 22 статьи 22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44-ФЗ, установлено изъятие из сферы его действия, то порядок определения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НМЦК, утвержденный таким актом, в отношении указанного товара не установлен.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По вопросу применения Приказа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450н целесообразно обращаться непосредственно в Минздрав России и </w:t>
            </w:r>
            <w:proofErr w:type="spellStart"/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Минпромторг</w:t>
            </w:r>
            <w:proofErr w:type="spellEnd"/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России.</w:t>
            </w:r>
          </w:p>
        </w:tc>
      </w:tr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Частью 1.1 статьи 33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установлено, что при описании являющегося объектом закупки товара (в том числе поставляемого при выполнении закупаемой работы, оказании закупаемой услуги), в отношении которого установлены "защитные" меры, указываются характеристики товара российского происхождения. В этой связи в свете применения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1875, возникают следующие вопросы: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Каким образом заказчику подтвердить, что при описании являющегося объектом закупки товара использовались характеристики товара российского происхождения, какие источники информации о российских товарах должны использоваться при описании товара российского происхождения? Каким образом заказчик может подтвердить отсутствие производства товара на территории Российской Федерации?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 связи с трудоемкостью процесса обоснования, а также с учетом разъяснений Минфина России от 31 января 2025 г.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24-01-06/8697 предлагаем проработать вопрос внесения изменений в Закон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в части закрепления обязанности заказчика декларировать невозможность указания характеристик товара российского происхождения по причине отсутствия производства такого товара на территории Российской Федерации и обеспечить техническую реализацию такого декларирования в единой информационной системе в сфере закупок.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Положениями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44-ФЗ, Постановления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1875 требования к источникам информации, порядку подтверждения использования характеристик товара российского происхождения в целях реализации части 1.1 статьи 33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не установлены.</w:t>
            </w:r>
          </w:p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В настоящее время в Минфине России рассматривается вопрос о разработке проекта постановления Правительства Российской Федерации, устанавливающего на основании части 5 статьи 33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особенности описания объекта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Российской Федерации отсутствует, в соответствии с которыми заказчиком декларируется в извещении об осуществлении закупки, приглашении принять участие в определении поставщика (подрядчика, исполнителя) отсутствие на территории Российской Федерации производства товара с характеристиками, соответствующими потребности заказчика.</w:t>
            </w:r>
          </w:p>
        </w:tc>
      </w:tr>
      <w:tr w:rsidR="00745F6A" w:rsidRPr="00745F6A" w:rsidTr="00745F6A">
        <w:tc>
          <w:tcPr>
            <w:tcW w:w="570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Просим пояснить необходимость соблюдения части 1.1 статьи 33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при осуществлении закупок у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единственного поставщика (подрядчика, исполнителя) (за исключением закупки, предусмотренной частью 12 статьи 93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44-ФЗ), когда ограничение и преимущество не устанавливаются.</w:t>
            </w:r>
          </w:p>
        </w:tc>
        <w:tc>
          <w:tcPr>
            <w:tcW w:w="6525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745F6A" w:rsidRPr="00745F6A" w:rsidRDefault="00745F6A" w:rsidP="00745F6A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При осуществлении закупки у единственного поставщика (подрядчика, исполнителя), за исключением случая, 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 xml:space="preserve">предусмотренного частью 12 статьи 93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44-ФЗ, составление описания объекта закупки не предусмотрено, соответственно, положения части 1.1 статьи 33 Закона </w:t>
            </w:r>
            <w:r w:rsidR="001B6236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№</w:t>
            </w:r>
            <w:r w:rsidRPr="00745F6A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44-ФЗ не применяются.</w:t>
            </w:r>
          </w:p>
        </w:tc>
      </w:tr>
    </w:tbl>
    <w:p w:rsidR="005006FB" w:rsidRPr="00745F6A" w:rsidRDefault="005006FB" w:rsidP="00745F6A">
      <w:pPr>
        <w:rPr>
          <w:rFonts w:ascii="Times New Roman" w:hAnsi="Times New Roman" w:cs="Times New Roman"/>
          <w:sz w:val="24"/>
          <w:szCs w:val="24"/>
        </w:rPr>
      </w:pPr>
    </w:p>
    <w:sectPr w:rsidR="005006FB" w:rsidRPr="00745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F6A"/>
    <w:rsid w:val="001B6236"/>
    <w:rsid w:val="005006FB"/>
    <w:rsid w:val="0074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8E060-236E-4D37-9B5C-7AF2820F5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2327</Words>
  <Characters>13265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2025-04-15T11:03:00Z</dcterms:created>
  <dcterms:modified xsi:type="dcterms:W3CDTF">2025-04-15T11:03:00Z</dcterms:modified>
</cp:coreProperties>
</file>