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209" w:rsidRPr="00233209" w:rsidRDefault="00233209" w:rsidP="0023320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209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</w:t>
      </w:r>
    </w:p>
    <w:p w:rsidR="00233209" w:rsidRPr="00233209" w:rsidRDefault="00233209" w:rsidP="0023320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209" w:rsidRPr="00233209" w:rsidRDefault="00233209" w:rsidP="0023320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20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33209" w:rsidRPr="00233209" w:rsidRDefault="00233209" w:rsidP="00233209">
      <w:pPr>
        <w:pStyle w:val="a3"/>
        <w:spacing w:before="0" w:beforeAutospacing="0" w:after="0" w:afterAutospacing="0" w:line="288" w:lineRule="atLeast"/>
        <w:ind w:firstLine="540"/>
        <w:jc w:val="center"/>
        <w:rPr>
          <w:b/>
          <w:sz w:val="28"/>
          <w:szCs w:val="28"/>
        </w:rPr>
      </w:pPr>
      <w:r w:rsidRPr="00233209">
        <w:rPr>
          <w:b/>
          <w:sz w:val="28"/>
          <w:szCs w:val="28"/>
        </w:rPr>
        <w:t xml:space="preserve">от 25 июня 2026 г. </w:t>
      </w:r>
      <w:r>
        <w:rPr>
          <w:b/>
          <w:sz w:val="28"/>
          <w:szCs w:val="28"/>
        </w:rPr>
        <w:t>№</w:t>
      </w:r>
      <w:r w:rsidRPr="00233209">
        <w:rPr>
          <w:b/>
          <w:sz w:val="28"/>
          <w:szCs w:val="28"/>
        </w:rPr>
        <w:t xml:space="preserve"> АТ/</w:t>
      </w:r>
      <w:bookmarkStart w:id="0" w:name="_GoBack"/>
      <w:r w:rsidRPr="00233209">
        <w:rPr>
          <w:b/>
          <w:sz w:val="28"/>
          <w:szCs w:val="28"/>
        </w:rPr>
        <w:t>64408</w:t>
      </w:r>
      <w:bookmarkEnd w:id="0"/>
      <w:r w:rsidRPr="00233209">
        <w:rPr>
          <w:b/>
          <w:sz w:val="28"/>
          <w:szCs w:val="28"/>
        </w:rPr>
        <w:t>/26</w:t>
      </w:r>
      <w:r w:rsidRPr="00233209">
        <w:rPr>
          <w:b/>
          <w:sz w:val="28"/>
          <w:szCs w:val="28"/>
        </w:rPr>
        <w:t xml:space="preserve"> “Об о</w:t>
      </w:r>
      <w:r w:rsidRPr="00233209">
        <w:rPr>
          <w:b/>
          <w:sz w:val="28"/>
          <w:szCs w:val="28"/>
        </w:rPr>
        <w:t>пределени</w:t>
      </w:r>
      <w:r w:rsidRPr="00233209">
        <w:rPr>
          <w:b/>
          <w:sz w:val="28"/>
          <w:szCs w:val="28"/>
        </w:rPr>
        <w:t>и</w:t>
      </w:r>
      <w:r w:rsidRPr="00233209">
        <w:rPr>
          <w:b/>
          <w:sz w:val="28"/>
          <w:szCs w:val="28"/>
        </w:rPr>
        <w:t xml:space="preserve"> начальной (максимальной) цены контракта, цены контракта, заключаемого с единственным поставщиком (подрядчиком, исполнителем)</w:t>
      </w:r>
      <w:r w:rsidRPr="00233209">
        <w:rPr>
          <w:b/>
          <w:sz w:val="28"/>
          <w:szCs w:val="28"/>
        </w:rPr>
        <w:t>”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 xml:space="preserve">ФАС России, рассмотрев обращение по вопросу применения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бензин, утвержденного приказом ФАС России от 22.11.2024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3209">
        <w:rPr>
          <w:rFonts w:ascii="Times New Roman" w:hAnsi="Times New Roman" w:cs="Times New Roman"/>
          <w:sz w:val="24"/>
          <w:szCs w:val="24"/>
        </w:rPr>
        <w:t xml:space="preserve"> 894/24 (далее - Порядок), сообщает.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>В соответствии с пунктом 6 Порядка основой формирования начальной (максимальной) цены контракта (далее - НМЦК), цены контракта, заключаемого с единственным поставщиком (подрядчиком, исполнителем) (далее - Цена контракта), начальной цены единицы товара, работы, услуги (далее - Начальная цена) при поставках моторного топлива, осуществляемых на топливораздаточных колонках посредством отгрузки в бак (емкость) автомобильного транспорта, являются статистические данные, предоставляемые ЦДУ ТЭК - филиалом ФГБУ "РЭА" Минэнерго России согласно договору о предоставлении услуг по подготовке и передаче информационных продуктов в области ТЭК, статистические данные Федеральной службы государственной статистики (Росстат), статистические данные единой межведомственной информационно-статистической системы (ЕМИСС) и другие источники, распространяющие либо предоставляющие статистическую информацию.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>ФАС России обращает внимание, что перечень источников статистической информации, представленный в Порядке, является открытым и по усмотрению заказчика могут быть применены иные источники. Требования, предъявляемые к таким источникам, Порядком не установлены.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>При формировании Цены контракта, НМЦК и Начальной цены на дату поставки товара (для месяца поставки, следующего за текущим) может учитываться стоимость транспортировки, коэффициенты и показатели, установленные пунктами 7 и 8 Порядка, а именно: коэффициент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(месяца) предыдущего года, индекс потребительских цен (далее - ИПЦ), условия поставки товара, в том числе сроки и объем поставки, наличие авансирования, порядок расчета за поставленное моторное топливо.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>Указанные дополнительные показатели и коэффициенты учитываются при наличии соответствующих факторов и соответствующих условий поставки, рассчитываются и применяются заказчиками самостоятельно.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 xml:space="preserve">Таким образом, в целях определения цены на дату поставки товара заказчику необходимо применить текущую рыночную цену (данные статистической информации, </w:t>
      </w:r>
      <w:r w:rsidRPr="00233209">
        <w:rPr>
          <w:rFonts w:ascii="Times New Roman" w:hAnsi="Times New Roman" w:cs="Times New Roman"/>
          <w:sz w:val="24"/>
          <w:szCs w:val="24"/>
        </w:rPr>
        <w:lastRenderedPageBreak/>
        <w:t>требования к которым Порядком не установлены) и ИПЦ, показатели и коэффициенты, установленные пунктами 7 и 8 Порядка, в том числе условия поставки товара, порядок расчета за поставленное моторное топливо, при наличии соответствующих условий их применения.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 xml:space="preserve">ФАС России также сообщает, что при возникновении случаев, не урегулированных Порядком, участникам закупок следует руководствоваться положениями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320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 xml:space="preserve">ФАС России также отмечает, что Порядок применяется с учетом подпункта 3 пункта 1 статьи 13 Федерального конституционного закона от 30.01.2002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3209">
        <w:rPr>
          <w:rFonts w:ascii="Times New Roman" w:hAnsi="Times New Roman" w:cs="Times New Roman"/>
          <w:sz w:val="24"/>
          <w:szCs w:val="24"/>
        </w:rPr>
        <w:t xml:space="preserve"> 1-ФКЗ "О военном положении" и части 73 статьи 112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320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(в части, не противоречащей).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>Иные разъяснения по вопросам применения Порядка содержатся на официальном сайте ФАС России в разделе "Разъяснения": https://fas.gov.ru/docume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3209">
        <w:rPr>
          <w:rFonts w:ascii="Times New Roman" w:hAnsi="Times New Roman" w:cs="Times New Roman"/>
          <w:sz w:val="24"/>
          <w:szCs w:val="24"/>
        </w:rPr>
        <w:t>ts/689931, а также в разделе "Видео комментарии": https://fas.gov.ru/p/videos/3383.</w:t>
      </w:r>
    </w:p>
    <w:p w:rsidR="00233209" w:rsidRPr="00233209" w:rsidRDefault="00233209" w:rsidP="0023320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33209">
        <w:rPr>
          <w:rFonts w:ascii="Times New Roman" w:hAnsi="Times New Roman" w:cs="Times New Roman"/>
          <w:sz w:val="24"/>
          <w:szCs w:val="24"/>
        </w:rPr>
        <w:t> </w:t>
      </w:r>
    </w:p>
    <w:p w:rsidR="00D66B08" w:rsidRPr="00233209" w:rsidRDefault="00233209" w:rsidP="002332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А.В.ТЕСЛЕНКО</w:t>
      </w:r>
    </w:p>
    <w:sectPr w:rsidR="00D66B08" w:rsidRPr="0023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09"/>
    <w:rsid w:val="00233209"/>
    <w:rsid w:val="00D6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8BDAA-77D9-4A86-9CA9-898207AE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8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2026-08-12T11:42:00Z</dcterms:created>
  <dcterms:modified xsi:type="dcterms:W3CDTF">2026-08-12T11:48:00Z</dcterms:modified>
</cp:coreProperties>
</file>