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68" w:rsidRDefault="00CE2468">
      <w:pPr>
        <w:pStyle w:val="20"/>
        <w:shd w:val="clear" w:color="auto" w:fill="auto"/>
        <w:spacing w:after="2599" w:line="28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25pt;margin-top:-17.05pt;width:477.1pt;height:31.7pt;z-index:-125829376;mso-wrap-distance-left:5pt;mso-wrap-distance-right:5pt;mso-position-horizontal-relative:margin" wrapcoords="0 0 21600 0 21600 21600 0 21600 0 0">
            <v:imagedata r:id="rId6" o:title="image1"/>
            <w10:wrap type="square" anchorx="margin"/>
          </v:shape>
        </w:pict>
      </w:r>
      <w:r w:rsidR="00D27858">
        <w:t>79017 1236488</w:t>
      </w:r>
    </w:p>
    <w:p w:rsidR="00CE2468" w:rsidRDefault="00D27858">
      <w:pPr>
        <w:pStyle w:val="10"/>
        <w:keepNext/>
        <w:keepLines/>
        <w:shd w:val="clear" w:color="auto" w:fill="auto"/>
        <w:spacing w:before="0"/>
        <w:ind w:left="620"/>
      </w:pPr>
      <w:bookmarkStart w:id="0" w:name="bookmark0"/>
      <w:r>
        <w:rPr>
          <w:rStyle w:val="11"/>
          <w:b/>
          <w:bCs/>
        </w:rPr>
        <w:t>ВЕРХОВНЫЙ суд</w:t>
      </w:r>
      <w:r>
        <w:rPr>
          <w:rStyle w:val="11"/>
          <w:b/>
          <w:bCs/>
        </w:rPr>
        <w:br/>
        <w:t>РОССИЙСКОЙ ФЕДЕРАЦИИ</w:t>
      </w:r>
      <w:bookmarkEnd w:id="0"/>
    </w:p>
    <w:p w:rsidR="00CE2468" w:rsidRDefault="00D27858">
      <w:pPr>
        <w:pStyle w:val="20"/>
        <w:shd w:val="clear" w:color="auto" w:fill="auto"/>
        <w:spacing w:after="457" w:line="280" w:lineRule="exact"/>
        <w:jc w:val="right"/>
      </w:pPr>
      <w:r>
        <w:t>№ 302-КГ18-24863</w:t>
      </w:r>
    </w:p>
    <w:p w:rsidR="00CE2468" w:rsidRDefault="00D27858">
      <w:pPr>
        <w:pStyle w:val="22"/>
        <w:keepNext/>
        <w:keepLines/>
        <w:shd w:val="clear" w:color="auto" w:fill="auto"/>
        <w:spacing w:before="0" w:after="620" w:line="340" w:lineRule="exact"/>
        <w:ind w:left="620"/>
      </w:pPr>
      <w:bookmarkStart w:id="1" w:name="bookmark1"/>
      <w:r>
        <w:t>ОПРЕДЕЛЕНИЕ</w:t>
      </w:r>
      <w:bookmarkEnd w:id="1"/>
    </w:p>
    <w:p w:rsidR="00CE2468" w:rsidRDefault="00D27858">
      <w:pPr>
        <w:pStyle w:val="20"/>
        <w:shd w:val="clear" w:color="auto" w:fill="auto"/>
        <w:tabs>
          <w:tab w:val="left" w:pos="8467"/>
        </w:tabs>
        <w:spacing w:after="892" w:line="280" w:lineRule="exact"/>
      </w:pPr>
      <w:r>
        <w:t>г. Москва</w:t>
      </w:r>
      <w:r>
        <w:tab/>
        <w:t>19.03.2019</w:t>
      </w:r>
    </w:p>
    <w:p w:rsidR="00CE2468" w:rsidRDefault="00D27858">
      <w:pPr>
        <w:pStyle w:val="20"/>
        <w:shd w:val="clear" w:color="auto" w:fill="auto"/>
        <w:tabs>
          <w:tab w:val="left" w:pos="1742"/>
        </w:tabs>
        <w:spacing w:after="0" w:line="480" w:lineRule="exact"/>
        <w:ind w:firstLine="680"/>
      </w:pPr>
      <w:r>
        <w:t xml:space="preserve">Судья Верховного Суда Российской Федерации Завьялова Т.В., рассмотрев по материалам истребованного дела кассационную жалобу Федерального государственного </w:t>
      </w:r>
      <w:r>
        <w:t>казенного учреждения «Отдел вневедомственной охраны войск национальной гвардии Российской Федерации по Республике Хакасия» (далее - учреждение, заявитель, государственный заказчик) на решение Арбитражного суда Республики Хакасия от 06.03.2018 по делу №</w:t>
      </w:r>
      <w:r>
        <w:tab/>
        <w:t>А74</w:t>
      </w:r>
      <w:r>
        <w:t>-17122/2017, постановление Третьего арбитражного</w:t>
      </w:r>
    </w:p>
    <w:p w:rsidR="00CE2468" w:rsidRDefault="00D27858">
      <w:pPr>
        <w:pStyle w:val="20"/>
        <w:shd w:val="clear" w:color="auto" w:fill="auto"/>
        <w:spacing w:after="0" w:line="480" w:lineRule="exact"/>
      </w:pPr>
      <w:r>
        <w:t>апелляционного суда от 23.05.2018 и постановление Арбитражного суда Восточно-Сибирского округа от 23.10.2018 по тому же делу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80"/>
        <w:jc w:val="left"/>
        <w:sectPr w:rsidR="00CE2468">
          <w:headerReference w:type="default" r:id="rId7"/>
          <w:pgSz w:w="11900" w:h="16840"/>
          <w:pgMar w:top="389" w:right="794" w:bottom="389" w:left="1362" w:header="0" w:footer="3" w:gutter="0"/>
          <w:cols w:space="720"/>
          <w:noEndnote/>
          <w:titlePg/>
          <w:docGrid w:linePitch="360"/>
        </w:sectPr>
      </w:pPr>
      <w:r>
        <w:t>по заявлению учреждения к Управлению Федеральной антимонопольной службы по Республике Хакасия (далее - антимонопольный орган) о признании недействительными решения и предписания от 10.10.2017 по жалобе № 197/К</w:t>
      </w:r>
      <w:r>
        <w:t>С, при участии в качестве третьего лица: общества с ограниченной ответственностью «СтройСити» (далее - общество),</w:t>
      </w:r>
    </w:p>
    <w:p w:rsidR="00CE2468" w:rsidRDefault="00CE2468">
      <w:pPr>
        <w:spacing w:line="36" w:lineRule="exact"/>
        <w:rPr>
          <w:sz w:val="3"/>
          <w:szCs w:val="3"/>
        </w:rPr>
      </w:pPr>
    </w:p>
    <w:p w:rsidR="00CE2468" w:rsidRDefault="00CE2468">
      <w:pPr>
        <w:rPr>
          <w:sz w:val="2"/>
          <w:szCs w:val="2"/>
        </w:rPr>
        <w:sectPr w:rsidR="00CE2468">
          <w:pgSz w:w="11900" w:h="16840"/>
          <w:pgMar w:top="1186" w:right="0" w:bottom="1296" w:left="0" w:header="0" w:footer="3" w:gutter="0"/>
          <w:cols w:space="720"/>
          <w:noEndnote/>
          <w:docGrid w:linePitch="360"/>
        </w:sectPr>
      </w:pPr>
    </w:p>
    <w:p w:rsidR="00CE2468" w:rsidRDefault="00D27858">
      <w:pPr>
        <w:pStyle w:val="20"/>
        <w:shd w:val="clear" w:color="auto" w:fill="auto"/>
        <w:spacing w:after="472" w:line="280" w:lineRule="exact"/>
        <w:ind w:left="4440"/>
        <w:jc w:val="left"/>
      </w:pPr>
      <w:r>
        <w:lastRenderedPageBreak/>
        <w:t>установила: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решением Арбитражного суда Республики Хакасия от 06.03.2018, оставленным без изменения постановлением Треть</w:t>
      </w:r>
      <w:r>
        <w:t>его арбитражного апелляционного суда от 23.05.2018 и постановлением Арбитражного суда Восточно-Сибирского округа от 23.10.2018, в удовлетворении заявленных требований отказано.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780"/>
      </w:pPr>
      <w:r>
        <w:t>Учреждение обратилось в Верховный Суд Российской Федерации с кассационной жалоб</w:t>
      </w:r>
      <w:r>
        <w:t>ой на принятые по делу судебные акты, в которой просит их отменить, ссылаясь на существенное нарушение судами норм права.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780"/>
      </w:pPr>
      <w:r>
        <w:t>В соответствии с пунктом 1 части 7 статьи 291.6 Арбитражного процессуального кодекса Российской Федерации по результатам изучения касс</w:t>
      </w:r>
      <w:r>
        <w:t>ационных жалобы, представления судья Верховного Суда Российской Федерации выносит 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Федерации, если изложен</w:t>
      </w:r>
      <w:r>
        <w:t xml:space="preserve">ные в кассационных жалобе, представлении доводы не подтверждают существенных нарушений норм материального права и (или) норм процессуального права, повлиявших на исход дела, и не являются достаточным основанием для пересмотра судебных актов в кассационном </w:t>
      </w:r>
      <w:r>
        <w:t>порядке и (или) для решения вопроса о присуждении компенсации за нарушение права на судопроизводство в разумный срок, а также если указанные доводы не находят подтверждения в материалах дела.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При изучении доводов кассационной жалобы и материалов дела, истр</w:t>
      </w:r>
      <w:r>
        <w:t>ебованного из Арбитражного суда Республики Хакасия, судья Верховного Суда Российской Федерации приходит к выводу об отсутствии оснований, предусмотренных пунктом 1 части 7 статьи 291.6 Арбитражного процессуального кодекса Российской Федерации, по которым к</w:t>
      </w:r>
      <w:r>
        <w:t>ассационная жалоба может быть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 xml:space="preserve">Как установлено судами и следует из материалов дела, по результатам </w:t>
      </w:r>
      <w:r>
        <w:lastRenderedPageBreak/>
        <w:t>проведенного электронного аукци</w:t>
      </w:r>
      <w:r>
        <w:t>она на выполнение работ по капитальному ремонту фасада административного здания учреждения, победителем аукциона признано общество с ценой контракта 1 533 046 рублей 81 копейка.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Победителю аукциона был направлен для подписания проект государственного контр</w:t>
      </w:r>
      <w:r>
        <w:t>акта, в котором в цене контракта отдельно выделен налог на добавленную стоимость в размере 275 948 рублей 43 копейки (далее - НДС).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Не согласившись с указанным проектом, обществом был представлен протокол разногласий к государственному контракту, в котором</w:t>
      </w:r>
      <w:r>
        <w:t xml:space="preserve"> предложено указать цену государственного контракта без выделения суммы НДС.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Отказ государственного заказчика от внесения указанных изменений в проект контракта и признание общества уклонившимся от его заключения послужило основанием для направления победи</w:t>
      </w:r>
      <w:r>
        <w:t>телем аукциона жалобы в антимонопольный орган.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 xml:space="preserve">Решением от 10.10.2017 жалоба общества признана обоснованной в части формирования цены, заказчику предписано отменить протокол отказа от заключения контракта, направить победителю электронного аукциона проект </w:t>
      </w:r>
      <w:r>
        <w:t>контракта, исключив из пункта 2.1 проекта контракта положение - «в том числе НДС (если подрядчик облагается НДС)».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Не согласившись с решением и предписанием антимонопольного органа от 10.10.2017, учреждение обратилось в арбитражный суд с соответствующими т</w:t>
      </w:r>
      <w:r>
        <w:t>ребованиями.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В соответствии с частью 1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контракт зак</w:t>
      </w:r>
      <w:r>
        <w:t>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</w:t>
      </w:r>
      <w:r>
        <w:t xml:space="preserve">ется контракт, за исключением случаев, в которых в соответствии с </w:t>
      </w:r>
      <w:r>
        <w:lastRenderedPageBreak/>
        <w:t>рассматриваемым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</w:t>
      </w:r>
      <w:r>
        <w:t>редложение не предусмотрены.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</w:t>
      </w:r>
      <w:r>
        <w:t>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</w:t>
      </w:r>
      <w:r>
        <w:t>тьей 95 Закона о контрактной системе (часть 2 статьи 34 Закона о контрактной системе).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К числу таких случаев относится снижение цены контракта без изменения количества товара, объема работы или услуги, их качества и иных условий контракта, если эта возможн</w:t>
      </w:r>
      <w:r>
        <w:t>ость предусмотрена документацией о закупке и контрактом (подпункт 1 части 1 статьи 95 Закона о контрактной системе).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620"/>
      </w:pPr>
      <w:r>
        <w:t>С учетом приведенных положений Закона о контрактной системе суды пришли к выводу о том, что любой участник закупки, в том числе тот, которы</w:t>
      </w:r>
      <w:r>
        <w:t>й освобожден от уплаты НДС и применяет упрощенную систему налогообложения, вправе участвовать в закупке для обеспечения государственных и муниципальных нужд. Контракт по итогам аукциона заключается и оплачивается заказчиком по цене, предложенной участником</w:t>
      </w:r>
      <w:r>
        <w:t xml:space="preserve"> закупки, с которым заключается контракт, вне зависимости от применения системы налогообложения у данного участника.</w:t>
      </w:r>
    </w:p>
    <w:p w:rsidR="00CE2468" w:rsidRDefault="00D27858">
      <w:pPr>
        <w:pStyle w:val="20"/>
        <w:shd w:val="clear" w:color="auto" w:fill="auto"/>
        <w:spacing w:after="0" w:line="485" w:lineRule="exact"/>
        <w:ind w:firstLine="720"/>
      </w:pPr>
      <w:r>
        <w:t xml:space="preserve">Оценив содержание проекта государственного контракта, суды отметили, что заказчиком еще на этапе планирования закупки и размещения закупки </w:t>
      </w:r>
      <w:r>
        <w:t xml:space="preserve">на официальном сайте ЕИС в сфере закупок в проекте контракта аукционной документации предусмотрен случай, что победителем электронного аукциона может быть признан участник, который не является плательщиком НДС. </w:t>
      </w:r>
      <w:r>
        <w:lastRenderedPageBreak/>
        <w:t>Следовательно, отказ заказчика от изложения к</w:t>
      </w:r>
      <w:r>
        <w:t>онтракта в предложенной победителем торгов редакции является необоснованным, поскольку государственный заказчик не вправе принуждать участника закупки, применяющего упрощенную систему налогообложения, к уплате НДС. Данное требование общества о внесении изм</w:t>
      </w:r>
      <w:r>
        <w:t>енений в проект государственного контракта было направлено не на одностороннее изменений условий контракта, в нарушение части 10 статьи 70 Закона о контрактной системе (как ошибочно полагает учреждение), а на приведение в соответствие с фактическими обстоя</w:t>
      </w:r>
      <w:r>
        <w:t>тельствами документального содержания налоговых правоотношений, в которых участвуют стороны сделки, при неизменности цены контракта (пункт 1 статьи 710, пункт 2 статьи 766, статья 768 Гражданского кодекса Российской Федерации).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700"/>
      </w:pPr>
      <w:r>
        <w:t>Вывод судов согласуется такж</w:t>
      </w:r>
      <w:r>
        <w:t>е с положениями Налогового кодекса Российской Федерации (далее - Налоговый кодекс).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700"/>
      </w:pPr>
      <w:r>
        <w:t>В соответствии с частью 2 статьи 346.11 Налогового кодекса применение упрощенной системы налогообложения организациями предусматривает их освобождение от обязанности по упл</w:t>
      </w:r>
      <w:r>
        <w:t>ате налога на прибыль и налога на имущество организаций. Организации, применяющие упрощенную систему налогообложения, не признаются налогоплательщиками НДС, за исключением НДС, подлежащего уплате в соответствии с Налоговым кодексом при ввозе товаров на тер</w:t>
      </w:r>
      <w:r>
        <w:t>риторию Российской Федерации и иные территории, находящиеся под ее юрисдикцией, а также НДС, уплачиваемого в соответствии со статьей 174.1 Налогового кодекса.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700"/>
      </w:pPr>
      <w:r>
        <w:t>Выставление же счета-фактуры как документа, необходимого для налогообложения на основании положен</w:t>
      </w:r>
      <w:r>
        <w:t>ий статьи 169 Налогового кодекса Российской Федерации, влечет обязанность его исчислить и уплатить в бюджет, несмотря на то, что субъект не является плательщиком НДС.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700"/>
      </w:pPr>
      <w:r>
        <w:t>Учитывая данные обстоятельства, суды пришли к обоснованному выводу о том, что решение ант</w:t>
      </w:r>
      <w:r>
        <w:t>имонопольного органа соответствует законодательству и</w:t>
      </w:r>
      <w:r>
        <w:br w:type="page"/>
      </w:r>
      <w:r>
        <w:lastRenderedPageBreak/>
        <w:t>не нарушает права и законные интересы заявителя, а несогласие учреждения с позицией судов не является основанием для пересмотра судебных актов в силу пункта 1 части 7 статьи 291.6 Арбитражного процессуа</w:t>
      </w:r>
      <w:r>
        <w:t>льного кодекса Российской Федерации.</w:t>
      </w:r>
    </w:p>
    <w:p w:rsidR="00CE2468" w:rsidRDefault="00D27858">
      <w:pPr>
        <w:pStyle w:val="20"/>
        <w:shd w:val="clear" w:color="auto" w:fill="auto"/>
        <w:spacing w:after="0" w:line="480" w:lineRule="exact"/>
        <w:ind w:firstLine="740"/>
      </w:pPr>
      <w:r>
        <w:t>Нарушений норм материального права, а также требований процессуального законодательства, влекущих безусловную отмену судебных актов, судами не допущено.</w:t>
      </w:r>
    </w:p>
    <w:p w:rsidR="00CE2468" w:rsidRDefault="00D27858">
      <w:pPr>
        <w:pStyle w:val="20"/>
        <w:shd w:val="clear" w:color="auto" w:fill="auto"/>
        <w:spacing w:after="940" w:line="480" w:lineRule="exact"/>
        <w:ind w:firstLine="740"/>
      </w:pPr>
      <w:r>
        <w:t>Учитывая изложенное и руководствуясь статьями 291.1, 291.6 и 291.8</w:t>
      </w:r>
      <w:r>
        <w:t xml:space="preserve"> Арбитражного процессуального кодекса Российской Федерации, судья Верховного Суда Российской Федерации</w:t>
      </w:r>
    </w:p>
    <w:p w:rsidR="00CE2468" w:rsidRDefault="00D27858">
      <w:pPr>
        <w:pStyle w:val="20"/>
        <w:shd w:val="clear" w:color="auto" w:fill="auto"/>
        <w:spacing w:after="347" w:line="280" w:lineRule="exact"/>
        <w:jc w:val="center"/>
      </w:pPr>
      <w:r>
        <w:t>определила:</w:t>
      </w:r>
    </w:p>
    <w:p w:rsidR="00CE2468" w:rsidRDefault="00D27858">
      <w:pPr>
        <w:pStyle w:val="20"/>
        <w:shd w:val="clear" w:color="auto" w:fill="auto"/>
        <w:spacing w:after="780" w:line="480" w:lineRule="exact"/>
        <w:ind w:firstLine="740"/>
      </w:pPr>
      <w:r>
        <w:t>отказать Федеральному государственному казенному учреждению «Отдел вневедомственной охраны войск национальной гвардии Российской Федерации по</w:t>
      </w:r>
      <w:r>
        <w:t xml:space="preserve"> Республике Хакасия»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CE2468" w:rsidRDefault="00CE2468">
      <w:pPr>
        <w:pStyle w:val="20"/>
        <w:shd w:val="clear" w:color="auto" w:fill="auto"/>
        <w:spacing w:after="0" w:line="480" w:lineRule="exact"/>
        <w:ind w:right="4740"/>
        <w:jc w:val="left"/>
        <w:sectPr w:rsidR="00CE2468">
          <w:type w:val="continuous"/>
          <w:pgSz w:w="11900" w:h="16840"/>
          <w:pgMar w:top="1186" w:right="812" w:bottom="1296" w:left="1387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8.1pt;margin-top:21.2pt;width:90.5pt;height:16.85pt;z-index:-125829375;mso-wrap-distance-left:5pt;mso-wrap-distance-top:16.4pt;mso-wrap-distance-right:5pt;mso-position-horizontal-relative:margin" filled="f" stroked="f">
            <v:textbox style="mso-fit-shape-to-text:t" inset="0,0,0,0">
              <w:txbxContent>
                <w:p w:rsidR="00CE2468" w:rsidRDefault="00D27858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  <w:r>
                    <w:rPr>
                      <w:rStyle w:val="2Exact"/>
                    </w:rPr>
                    <w:t>Т.В. Завьялова</w:t>
                  </w:r>
                </w:p>
              </w:txbxContent>
            </v:textbox>
            <w10:wrap type="square" side="left" anchorx="margin"/>
          </v:shape>
        </w:pict>
      </w:r>
      <w:r w:rsidR="00D27858">
        <w:t>Судья Верховного Суда Российской Федерации</w:t>
      </w:r>
    </w:p>
    <w:p w:rsidR="00CE2468" w:rsidRDefault="00CE2468">
      <w:pPr>
        <w:spacing w:line="597" w:lineRule="exact"/>
      </w:pPr>
      <w:r>
        <w:lastRenderedPageBreak/>
        <w:pict>
          <v:shape id="_x0000_s1029" type="#_x0000_t202" style="position:absolute;margin-left:.05pt;margin-top:.1pt;width:8.4pt;height:15.05pt;z-index:251657728;mso-wrap-distance-left:5pt;mso-wrap-distance-right:5pt;mso-position-horizontal-relative:margin" filled="f" stroked="f">
            <v:textbox style="mso-fit-shape-to-text:t" inset="0,0,0,0">
              <w:txbxContent>
                <w:p w:rsidR="00CE2468" w:rsidRDefault="00D27858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  <w:r>
                    <w:rPr>
                      <w:rStyle w:val="2Exact"/>
                    </w:rPr>
                    <w:t>7</w:t>
                  </w:r>
                </w:p>
              </w:txbxContent>
            </v:textbox>
            <w10:wrap anchorx="margin"/>
          </v:shape>
        </w:pict>
      </w:r>
    </w:p>
    <w:p w:rsidR="00CE2468" w:rsidRDefault="00CE2468">
      <w:pPr>
        <w:rPr>
          <w:sz w:val="2"/>
          <w:szCs w:val="2"/>
        </w:rPr>
      </w:pPr>
    </w:p>
    <w:sectPr w:rsidR="00CE2468" w:rsidSect="00CE2468">
      <w:headerReference w:type="default" r:id="rId8"/>
      <w:pgSz w:w="11900" w:h="16840"/>
      <w:pgMar w:top="691" w:right="5585" w:bottom="691" w:left="61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58" w:rsidRDefault="00D27858" w:rsidP="00CE2468">
      <w:r>
        <w:separator/>
      </w:r>
    </w:p>
  </w:endnote>
  <w:endnote w:type="continuationSeparator" w:id="0">
    <w:p w:rsidR="00D27858" w:rsidRDefault="00D27858" w:rsidP="00CE2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58" w:rsidRDefault="00D27858"/>
  </w:footnote>
  <w:footnote w:type="continuationSeparator" w:id="0">
    <w:p w:rsidR="00D27858" w:rsidRDefault="00D278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68" w:rsidRDefault="00CE2468">
    <w:pPr>
      <w:rPr>
        <w:sz w:val="2"/>
        <w:szCs w:val="2"/>
      </w:rPr>
    </w:pPr>
    <w:r w:rsidRPr="00CE24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75pt;margin-top:37pt;width:6pt;height:9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E2468" w:rsidRDefault="00CE246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140B0" w:rsidRPr="002140B0">
                    <w:rPr>
                      <w:rStyle w:val="a6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68" w:rsidRDefault="00CE246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2468"/>
    <w:rsid w:val="002140B0"/>
    <w:rsid w:val="00CE2468"/>
    <w:rsid w:val="00D2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4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246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2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E2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 + Малые прописные"/>
    <w:basedOn w:val="1"/>
    <w:rsid w:val="00CE2468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CE2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sid w:val="00CE2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CE2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CE246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2468"/>
    <w:pPr>
      <w:shd w:val="clear" w:color="auto" w:fill="FFFFFF"/>
      <w:spacing w:after="27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CE2468"/>
    <w:pPr>
      <w:shd w:val="clear" w:color="auto" w:fill="FFFFFF"/>
      <w:spacing w:before="2760" w:line="50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2">
    <w:name w:val="Заголовок №2"/>
    <w:basedOn w:val="a"/>
    <w:link w:val="21"/>
    <w:rsid w:val="00CE2468"/>
    <w:pPr>
      <w:shd w:val="clear" w:color="auto" w:fill="FFFFFF"/>
      <w:spacing w:before="54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a5">
    <w:name w:val="Колонтитул"/>
    <w:basedOn w:val="a"/>
    <w:link w:val="a4"/>
    <w:rsid w:val="00CE2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1423</Words>
  <Characters>8112</Characters>
  <Application>Microsoft Office Word</Application>
  <DocSecurity>0</DocSecurity>
  <Lines>67</Lines>
  <Paragraphs>19</Paragraphs>
  <ScaleCrop>false</ScaleCrop>
  <Company>Krokoz™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2019-04-15T05:50:00Z</dcterms:created>
  <dcterms:modified xsi:type="dcterms:W3CDTF">2019-04-15T05:50:00Z</dcterms:modified>
</cp:coreProperties>
</file>